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6897-3_4seq1.xml.htm"/>
      <w:bookmarkStart w:id="1" w:name="kstm2616897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DILLARD ALEX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CANTRELL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DILLARD'S, INC.</w:t>
              </w:r>
            </w:hyperlink>
            <w:r>
              <w:rPr/>
              <w:t xml:space="preserve"> [ </w:t>
            </w:r>
            <w:r>
              <w:rPr>
                <w:rFonts w:ascii="Times;serif" w:hAnsi="Times;serif"/>
                <w:color w:val="0000FF"/>
                <w:sz w:val="24"/>
                <w:shd w:fill="FFFFFF" w:val="clear"/>
              </w:rPr>
              <w:t>DDS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4"/>
        <w:gridCol w:w="900"/>
        <w:gridCol w:w="771"/>
        <w:gridCol w:w="597"/>
        <w:gridCol w:w="339"/>
        <w:gridCol w:w="952"/>
        <w:gridCol w:w="429"/>
        <w:gridCol w:w="592"/>
        <w:gridCol w:w="1245"/>
        <w:gridCol w:w="966"/>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Class A</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41,496</w:t>
            </w:r>
            <w:r>
              <w:rPr>
                <w:rFonts w:ascii="Times;serif" w:hAnsi="Times;serif"/>
                <w:color w:val="008000"/>
                <w:position w:val="7"/>
                <w:sz w:val="16"/>
                <w:sz w:val="20"/>
                <w:shd w:fill="FFFFFF" w:val="clear"/>
              </w:rPr>
              <w:t>(1)</w:t>
            </w:r>
            <w:r>
              <w:rPr/>
              <w:t xml:space="preserve"> </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3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Class A</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10,097</w:t>
            </w:r>
            <w:r>
              <w:rPr>
                <w:rFonts w:ascii="Times;serif" w:hAnsi="Times;serif"/>
                <w:color w:val="008000"/>
                <w:position w:val="7"/>
                <w:sz w:val="16"/>
                <w:sz w:val="20"/>
                <w:shd w:fill="FFFFFF" w:val="clear"/>
              </w:rPr>
              <w:t>(4)</w:t>
            </w:r>
            <w:r>
              <w:rPr/>
              <w:t xml:space="preserve"> </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1,029,162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Class A - Retirement Plan</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Class A</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3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Class A</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36,572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343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76"/>
        <w:gridCol w:w="1026"/>
        <w:gridCol w:w="906"/>
        <w:gridCol w:w="801"/>
        <w:gridCol w:w="891"/>
        <w:gridCol w:w="1101"/>
        <w:gridCol w:w="801"/>
        <w:gridCol w:w="936"/>
        <w:gridCol w:w="831"/>
        <w:gridCol w:w="951"/>
      </w:tblGrid>
      <w:tr>
        <w:trPr>
          <w:tblHeader w:val="true"/>
        </w:trPr>
        <w:tc>
          <w:tcPr>
            <w:tcW w:w="134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9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Class B</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3,985,776</w:t>
            </w:r>
            <w:r>
              <w:rPr>
                <w:rFonts w:ascii="Times;serif" w:hAnsi="Times;serif"/>
                <w:color w:val="008000"/>
                <w:position w:val="7"/>
                <w:sz w:val="16"/>
                <w:sz w:val="20"/>
                <w:shd w:fill="FFFFFF" w:val="clear"/>
              </w:rPr>
              <w:t>(8)</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Class 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3,985,776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Class B</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969,864</w:t>
            </w:r>
            <w:r>
              <w:rPr>
                <w:rFonts w:ascii="Times;serif" w:hAnsi="Times;serif"/>
                <w:color w:val="008000"/>
                <w:position w:val="7"/>
                <w:sz w:val="16"/>
                <w:sz w:val="20"/>
                <w:shd w:fill="FFFFFF" w:val="clear"/>
              </w:rPr>
              <w:t>(9)</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Class A</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969,864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969,864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4, 2026, pursuant to the Agreement and Plan of Merger, dated as of March 20, 2026 (as amended, the "Merger Agreement"), by and among Dillard's, Inc. (the "Issuer"), W.D. Company, Inc., an Arkansas corporation ("WDC"), and Alex Dillard, solely in his capacity as the shareholder representative, WDC was merged with and into the Issuer (the "Merger"), with the Issuer surviving the Merger. The amount reported represents shares of Issuer Class A Common Stock disposed of by WDC upon consummation of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WDC common stock issued and outstanding immediately prior to the effective time of the Merger was automatically cancelled, and in exchange therefor, each WDC shareholder received such WDC shareholder's pro rata share of (a) up to 41,496 shares of Issuer Class A Common Stock and up to 3,985,776 shares of Issuer Class B Common Stock and (b) the amount in cash equal to the sum of (i) WDC's cash and cash equivalents as of the closing date of the Merger, plus (ii) the value of other publicly traded securities owned by WDC (determined as described in the Merger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Prior to the Merger, the reporting person owned approximately 27.9% of the outstanding voting stock of WDC and was one of its directors and officers.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amount reported represents shares of Issuer Class A Common Stock acquired by the reporting person upon consummation of the Merger, in his capacity as a shareholder of WDC.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amount reported represents shares of Issuer Class A Common Stock held by a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amount reported represents shares of Issuer Class A Common Stock held by the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of Issuer Class B Common Stock are convertible at the option of any holder thereof into shares of Issuer Class A Common Stock on a one-for-one basis. Issuer Class B Common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amount reported represents shares of Issuer Class B Common Stock disposed of by WDC upon consummation of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amount reported represents shares of Issuer Class B Common Stock acquired by the reporting person upon consummation of the Merger, in his capacity as a shareholder of WDC.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Dillard By: Julie Guymon,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0004" TargetMode="External"/><Relationship Id="rId5" Type="http://schemas.openxmlformats.org/officeDocument/2006/relationships/hyperlink" Target="http://www.sec.gov/cgi-bin/browse-edgar?action=getcompany&amp;CIK=00000289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5181</Characters>
  <CharactersWithSpaces>6083</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