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626135d1_8a12b.htm"/>
      <w:bookmarkStart w:id="1" w:name="kstm2626135d1_8a12b"/>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8-A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REGISTRATION OF CERTAIN CLASSES OF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12(b) OR (g)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Dillard’s,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4070"/>
        <w:gridCol w:w="3830"/>
      </w:tblGrid>
      <w:tr>
        <w:trPr/>
        <w:tc>
          <w:tcPr>
            <w:tcW w:w="40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Texas</w:t>
            </w:r>
          </w:p>
        </w:tc>
        <w:tc>
          <w:tcPr>
            <w:tcW w:w="383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71-0388071</w:t>
            </w:r>
          </w:p>
        </w:tc>
      </w:tr>
      <w:tr>
        <w:trPr/>
        <w:tc>
          <w:tcPr>
            <w:tcW w:w="40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(State or other jurisdiction of incorporation or </w:t>
              <w:br/>
              <w:t>organization)</w:t>
            </w:r>
          </w:p>
        </w:tc>
        <w:tc>
          <w:tcPr>
            <w:tcW w:w="38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4070" w:type="dxa"/>
            <w:tcBorders/>
            <w:vAlign w:val="center"/>
          </w:tcPr>
          <w:p>
            <w:pPr>
              <w:pStyle w:val="TableContents"/>
              <w:bidi w:val="0"/>
              <w:spacing w:before="0" w:after="283"/>
              <w:jc w:val="center"/>
              <w:rPr/>
            </w:pPr>
            <w:r>
              <w:rPr/>
              <w:t> </w:t>
            </w:r>
          </w:p>
        </w:tc>
        <w:tc>
          <w:tcPr>
            <w:tcW w:w="3830" w:type="dxa"/>
            <w:tcBorders/>
            <w:vAlign w:val="center"/>
          </w:tcPr>
          <w:p>
            <w:pPr>
              <w:pStyle w:val="TableContents"/>
              <w:bidi w:val="0"/>
              <w:spacing w:before="0" w:after="283"/>
              <w:jc w:val="center"/>
              <w:rPr/>
            </w:pPr>
            <w:r>
              <w:rPr/>
              <w:t> </w:t>
            </w:r>
          </w:p>
        </w:tc>
      </w:tr>
      <w:tr>
        <w:trPr/>
        <w:tc>
          <w:tcPr>
            <w:tcW w:w="40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1600 Cantrell Road, Little Rock, Arkansas</w:t>
            </w:r>
          </w:p>
        </w:tc>
        <w:tc>
          <w:tcPr>
            <w:tcW w:w="383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72201</w:t>
            </w:r>
          </w:p>
        </w:tc>
      </w:tr>
      <w:tr>
        <w:trPr/>
        <w:tc>
          <w:tcPr>
            <w:tcW w:w="40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38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r>
        <w:trPr/>
        <w:tc>
          <w:tcPr>
            <w:tcW w:w="4070" w:type="dxa"/>
            <w:tcBorders/>
            <w:vAlign w:val="center"/>
          </w:tcPr>
          <w:p>
            <w:pPr>
              <w:pStyle w:val="TableContents"/>
              <w:bidi w:val="0"/>
              <w:spacing w:before="0" w:after="283"/>
              <w:jc w:val="center"/>
              <w:rPr/>
            </w:pPr>
            <w:r>
              <w:rPr/>
              <w:t> </w:t>
            </w:r>
          </w:p>
        </w:tc>
        <w:tc>
          <w:tcPr>
            <w:tcW w:w="3830" w:type="dxa"/>
            <w:tcBorders/>
            <w:vAlign w:val="center"/>
          </w:tcPr>
          <w:p>
            <w:pPr>
              <w:pStyle w:val="TableContents"/>
              <w:bidi w:val="0"/>
              <w:spacing w:before="0" w:after="283"/>
              <w:jc w:val="center"/>
              <w:rPr/>
            </w:pPr>
            <w:r>
              <w:rPr/>
              <w:t> </w:t>
            </w:r>
          </w:p>
        </w:tc>
      </w:tr>
      <w:tr>
        <w:trPr/>
        <w:tc>
          <w:tcPr>
            <w:tcW w:w="790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Securities to be registered pursuant to Section 12(b) of the Act:</w:t>
            </w:r>
          </w:p>
        </w:tc>
      </w:tr>
      <w:tr>
        <w:trPr/>
        <w:tc>
          <w:tcPr>
            <w:tcW w:w="407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center"/>
              <w:rPr/>
            </w:pPr>
            <w:r>
              <w:rPr/>
              <w:t> </w:t>
            </w:r>
          </w:p>
        </w:tc>
      </w:tr>
      <w:tr>
        <w:trPr/>
        <w:tc>
          <w:tcPr>
            <w:tcW w:w="40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 to be registered:</w:t>
            </w:r>
          </w:p>
        </w:tc>
        <w:tc>
          <w:tcPr>
            <w:tcW w:w="38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Name of each exchange on which each class is </w:t>
              <w:br/>
              <w:t>to be registered:</w:t>
            </w:r>
          </w:p>
        </w:tc>
      </w:tr>
      <w:tr>
        <w:trPr/>
        <w:tc>
          <w:tcPr>
            <w:tcW w:w="40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Class A Common Stock, $0.01 par value per share</w:t>
            </w:r>
          </w:p>
        </w:tc>
        <w:tc>
          <w:tcPr>
            <w:tcW w:w="38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Texas Stock Exchange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pursuant to Section 12(b) of the Exchange Act and is effective pursuant to General Instruction A.(c) or (e),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pursuant to Section 12(g) of the Exchange Act and is effective pursuant to General Instruction A.(d) or (e), check the following box.☐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concurrently with a Regulation A offering,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Act registration statement or Regulation A offering statement file number to which this form relates: ______________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to be registered pursuant to Section 12(g) of the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1. Description of Registrant’s Securities to be Registered.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Dillard’s, Inc. (the “Registrant”) is filing this Registration Statement on Form 8-A with the U.S. Securities and Exchange Commission (the “SEC”) in connection with the transfer of the primary listing of its Class A Common Stock, par value $0.01 per share (the “Class A Common Stock”), from the New York Stock Exchange (the “NYSE”) to the Texas Stock Exchange LLC (the “TXSE”). The Class A Common Stock will trade on the TXSE under the symbol “DDS”. The Registrant expects that trading of the Class A Common Stock on the NYSE as a primary listing will end at market close on October 2, 2026, and that trading of the Class A Common Stock on the TXSE as a primary listing will begin at market open on October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The description under the heading “Description of Securities” relating to the Registrant’s Class A Common Stock included in Exhibit 4(b) to the Registrant’s </w:t>
      </w:r>
      <w:hyperlink r:id="rId2">
        <w:r>
          <w:rPr>
            <w:rStyle w:val="InternetLink"/>
            <w:rFonts w:ascii="Times New Roman;Times;Serif" w:hAnsi="Times New Roman;Times;Serif"/>
            <w:b w:val="false"/>
            <w:i w:val="false"/>
            <w:caps w:val="false"/>
            <w:smallCaps w:val="false"/>
            <w:sz w:val="20"/>
          </w:rPr>
          <w:t>Annual Report on Form 10-K for the year ended January 31, 2026, filed with the SEC on March 27, 2026</w:t>
        </w:r>
      </w:hyperlink>
      <w:r>
        <w:rPr>
          <w:rFonts w:ascii="Times New Roman;Times;Serif" w:hAnsi="Times New Roman;Times;Serif"/>
          <w:b w:val="false"/>
          <w:i w:val="false"/>
          <w:caps w:val="false"/>
          <w:smallCaps w:val="false"/>
          <w:sz w:val="20"/>
        </w:rPr>
        <w:t>, is incorporated herein by reference, except that any reference to the NYSE is hereby amended to refer to the TXSE.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2.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9940" w:type="dxa"/>
        <w:jc w:val="left"/>
        <w:tblInd w:w="0" w:type="dxa"/>
        <w:tblLayout w:type="fixed"/>
        <w:tblCellMar>
          <w:top w:w="0" w:type="dxa"/>
          <w:left w:w="0" w:type="dxa"/>
          <w:bottom w:w="28" w:type="dxa"/>
          <w:right w:w="0" w:type="dxa"/>
        </w:tblCellMar>
      </w:tblPr>
      <w:tblGrid>
        <w:gridCol w:w="725"/>
        <w:gridCol w:w="60"/>
        <w:gridCol w:w="9155"/>
      </w:tblGrid>
      <w:tr>
        <w:trPr/>
        <w:tc>
          <w:tcPr>
            <w:tcW w:w="725"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Number</w:t>
            </w:r>
          </w:p>
        </w:tc>
        <w:tc>
          <w:tcPr>
            <w:tcW w:w="60" w:type="dxa"/>
            <w:tcBorders/>
            <w:tcMar>
              <w:bottom w:w="0" w:type="dxa"/>
            </w:tcMar>
            <w:vAlign w:val="center"/>
          </w:tcPr>
          <w:p>
            <w:pPr>
              <w:pStyle w:val="TableContents"/>
              <w:bidi w:val="0"/>
              <w:spacing w:before="0" w:after="283"/>
              <w:jc w:val="left"/>
              <w:rPr/>
            </w:pPr>
            <w:r>
              <w:rPr/>
              <w:t> </w:t>
            </w:r>
          </w:p>
        </w:tc>
        <w:tc>
          <w:tcPr>
            <w:tcW w:w="915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sz w:val="20"/>
                </w:rPr>
                <w:t>3(a)</w:t>
              </w:r>
            </w:hyperlink>
          </w:p>
        </w:tc>
        <w:tc>
          <w:tcPr>
            <w:tcW w:w="60" w:type="dxa"/>
            <w:tcBorders/>
            <w:tcMar>
              <w:bottom w:w="0" w:type="dxa"/>
            </w:tcMar>
            <w:vAlign w:val="center"/>
          </w:tcPr>
          <w:p>
            <w:pPr>
              <w:pStyle w:val="TableContents"/>
              <w:bidi w:val="0"/>
              <w:spacing w:before="0" w:after="283"/>
              <w:jc w:val="left"/>
              <w:rPr/>
            </w:pPr>
            <w:r>
              <w:rPr/>
              <w:t> </w:t>
            </w:r>
          </w:p>
        </w:tc>
        <w:tc>
          <w:tcPr>
            <w:tcW w:w="9155"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sz w:val="20"/>
                </w:rPr>
                <w:t>Certificate of Formation of Dillard’s, Inc. (Exhibit 3.1 to Form 8-K dated as of August 20, 2025, File No. 1-6140).</w:t>
              </w:r>
            </w:hyperlink>
          </w:p>
        </w:tc>
      </w:tr>
      <w:tr>
        <w:trPr/>
        <w:tc>
          <w:tcPr>
            <w:tcW w:w="725" w:type="dxa"/>
            <w:tcBorders/>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sz w:val="20"/>
                </w:rPr>
                <w:t>3(b)</w:t>
              </w:r>
            </w:hyperlink>
          </w:p>
        </w:tc>
        <w:tc>
          <w:tcPr>
            <w:tcW w:w="60" w:type="dxa"/>
            <w:tcBorders/>
            <w:tcMar>
              <w:bottom w:w="0" w:type="dxa"/>
            </w:tcMar>
            <w:vAlign w:val="center"/>
          </w:tcPr>
          <w:p>
            <w:pPr>
              <w:pStyle w:val="TableContents"/>
              <w:bidi w:val="0"/>
              <w:spacing w:before="0" w:after="283"/>
              <w:jc w:val="left"/>
              <w:rPr/>
            </w:pPr>
            <w:r>
              <w:rPr/>
              <w:t> </w:t>
            </w:r>
          </w:p>
        </w:tc>
        <w:tc>
          <w:tcPr>
            <w:tcW w:w="9155" w:type="dxa"/>
            <w:tcBorders/>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sz w:val="20"/>
                </w:rPr>
                <w:t>Bylaws of Dillard’s, Inc. (Exhibit 3.2 to Form 8-K dated as of August 20, 2025, File No. 1-6140).</w:t>
              </w:r>
            </w:hyperlink>
          </w:p>
        </w:tc>
      </w:tr>
      <w:tr>
        <w:trPr/>
        <w:tc>
          <w:tcPr>
            <w:tcW w:w="725" w:type="dxa"/>
            <w:tcBorders/>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sz w:val="20"/>
                </w:rPr>
                <w:t>4(b)</w:t>
              </w:r>
            </w:hyperlink>
          </w:p>
        </w:tc>
        <w:tc>
          <w:tcPr>
            <w:tcW w:w="60" w:type="dxa"/>
            <w:tcBorders/>
            <w:tcMar>
              <w:bottom w:w="0" w:type="dxa"/>
            </w:tcMar>
            <w:vAlign w:val="center"/>
          </w:tcPr>
          <w:p>
            <w:pPr>
              <w:pStyle w:val="TableContents"/>
              <w:bidi w:val="0"/>
              <w:spacing w:before="0" w:after="283"/>
              <w:jc w:val="left"/>
              <w:rPr/>
            </w:pPr>
            <w:r>
              <w:rPr/>
              <w:t> </w:t>
            </w:r>
          </w:p>
        </w:tc>
        <w:tc>
          <w:tcPr>
            <w:tcW w:w="9155" w:type="dxa"/>
            <w:tcBorders/>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sz w:val="20"/>
                </w:rPr>
                <w:t>Description of Securities (Exhibit 4(b) to Form 10-K for the fiscal year ended January 31, 2026, File No. 1-6140).</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12 of the Securities Exchange Act of 1934, the registrant has duly caused this registration statement to be signed on its behalf by the undersigned, thereto duly authorized.</w:t>
      </w:r>
    </w:p>
    <w:p>
      <w:pPr>
        <w:pStyle w:val="TextBody"/>
        <w:bidi w:val="0"/>
        <w:spacing w:before="0" w:after="0"/>
        <w:ind w:left="0" w:right="0" w:hanging="0"/>
        <w:jc w:val="left"/>
        <w:rPr>
          <w:caps w:val="false"/>
          <w:smallCaps w:val="false"/>
        </w:rPr>
      </w:pPr>
      <w:r>
        <w:rPr>
          <w:caps w:val="false"/>
          <w:smallCaps w:val="false"/>
        </w:rPr>
        <w:t> </w:t>
      </w:r>
    </w:p>
    <w:tbl>
      <w:tblPr>
        <w:tblW w:w="5490" w:type="dxa"/>
        <w:jc w:val="left"/>
        <w:tblInd w:w="0" w:type="dxa"/>
        <w:tblLayout w:type="fixed"/>
        <w:tblCellMar>
          <w:top w:w="0" w:type="dxa"/>
          <w:left w:w="0" w:type="dxa"/>
          <w:bottom w:w="0" w:type="dxa"/>
          <w:right w:w="0" w:type="dxa"/>
        </w:tblCellMar>
      </w:tblPr>
      <w:tblGrid>
        <w:gridCol w:w="2225"/>
        <w:gridCol w:w="320"/>
        <w:gridCol w:w="2945"/>
      </w:tblGrid>
      <w:tr>
        <w:trPr/>
        <w:tc>
          <w:tcPr>
            <w:tcW w:w="2225" w:type="dxa"/>
            <w:tcBorders/>
            <w:vAlign w:val="center"/>
          </w:tcPr>
          <w:p>
            <w:pPr>
              <w:pStyle w:val="TableContents"/>
              <w:bidi w:val="0"/>
              <w:spacing w:before="0" w:after="283"/>
              <w:jc w:val="left"/>
              <w:rPr/>
            </w:pPr>
            <w:r>
              <w:rPr/>
              <w:t> </w:t>
            </w:r>
          </w:p>
        </w:tc>
        <w:tc>
          <w:tcPr>
            <w:tcW w:w="326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Dillard’s, Inc.</w:t>
            </w:r>
          </w:p>
        </w:tc>
      </w:tr>
      <w:tr>
        <w:trPr/>
        <w:tc>
          <w:tcPr>
            <w:tcW w:w="2225" w:type="dxa"/>
            <w:tcBorders/>
            <w:vAlign w:val="center"/>
          </w:tcPr>
          <w:p>
            <w:pPr>
              <w:pStyle w:val="TableContents"/>
              <w:bidi w:val="0"/>
              <w:spacing w:before="0" w:after="283"/>
              <w:jc w:val="left"/>
              <w:rPr/>
            </w:pPr>
            <w:r>
              <w:rPr/>
              <w:t> </w:t>
            </w:r>
          </w:p>
        </w:tc>
        <w:tc>
          <w:tcPr>
            <w:tcW w:w="3265" w:type="dxa"/>
            <w:gridSpan w:val="2"/>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28,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Dean L. Worley</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Dean L. Worley</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and 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28917/000002891726000006/dds-20260131x10k.htm" TargetMode="External"/><Relationship Id="rId3" Type="http://schemas.openxmlformats.org/officeDocument/2006/relationships/hyperlink" Target="https://www.sec.gov/Archives/edgar/data/28917/000110465925080914/tm2524002d1_ex3-1.htm" TargetMode="External"/><Relationship Id="rId4" Type="http://schemas.openxmlformats.org/officeDocument/2006/relationships/hyperlink" Target="https://www.sec.gov/Archives/edgar/data/28917/000110465925080914/tm2524002d1_ex3-1.htm" TargetMode="External"/><Relationship Id="rId5" Type="http://schemas.openxmlformats.org/officeDocument/2006/relationships/hyperlink" Target="https://www.sec.gov/Archives/edgar/data/28917/000110465925080914/tm2524002d1_ex3-2.htm" TargetMode="External"/><Relationship Id="rId6" Type="http://schemas.openxmlformats.org/officeDocument/2006/relationships/hyperlink" Target="https://www.sec.gov/Archives/edgar/data/28917/000110465925080914/tm2524002d1_ex3-2.htm" TargetMode="External"/><Relationship Id="rId7" Type="http://schemas.openxmlformats.org/officeDocument/2006/relationships/hyperlink" Target="https://www.sec.gov/Archives/edgar/data/28917/000002891726000006/dds-20260131xex4db.htm" TargetMode="External"/><Relationship Id="rId8" Type="http://schemas.openxmlformats.org/officeDocument/2006/relationships/hyperlink" Target="https://www.sec.gov/Archives/edgar/data/28917/000002891726000006/dds-20260131xex4db.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568</Words>
  <Characters>2900</Characters>
  <CharactersWithSpaces>3473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