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6135d3_25.htm"/>
      <w:bookmarkStart w:id="1" w:name="kstm2626135d3_25"/>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UNITED STATES</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SECURITIES AND EXCHANGE COMMISSION</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Washington, D.C. 20549</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FORM 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NOTIFICATION OF REMOVAL FROM LISTING AND/OR</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REGISTRATION UNDER SECTION 12(b) OF</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THE SECURITIES EXCHANGE ACT OF 1934.</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Commission File Number: </w:t>
      </w:r>
      <w:r>
        <w:rPr>
          <w:rFonts w:ascii="Times New Roman;Times;Serif" w:hAnsi="Times New Roman;Times;Serif"/>
          <w:b/>
          <w:i w:val="false"/>
          <w:caps w:val="false"/>
          <w:smallCaps w:val="false"/>
          <w:color w:val="000000"/>
          <w:sz w:val="20"/>
        </w:rPr>
        <w:t>001-06140</w:t>
      </w:r>
    </w:p>
    <w:tbl>
      <w:tblPr>
        <w:tblW w:w="5000" w:type="pct"/>
        <w:jc w:val="left"/>
        <w:tblInd w:w="0" w:type="dxa"/>
        <w:tblLayout w:type="fixed"/>
        <w:tblCellMar>
          <w:top w:w="0" w:type="dxa"/>
          <w:left w:w="0" w:type="dxa"/>
          <w:bottom w:w="0" w:type="dxa"/>
          <w:right w:w="0" w:type="dxa"/>
        </w:tblCellMar>
      </w:tblPr>
      <w:tblGrid>
        <w:gridCol w:w="3638"/>
        <w:gridCol w:w="2905"/>
        <w:gridCol w:w="3662"/>
      </w:tblGrid>
      <w:tr>
        <w:trPr/>
        <w:tc>
          <w:tcPr>
            <w:tcW w:w="3638" w:type="dxa"/>
            <w:tcBorders/>
            <w:vAlign w:val="center"/>
          </w:tcPr>
          <w:p>
            <w:pPr>
              <w:pStyle w:val="TableContents"/>
              <w:bidi w:val="0"/>
              <w:spacing w:before="0" w:after="0"/>
              <w:jc w:val="left"/>
              <w:rPr>
                <w:caps w:val="false"/>
                <w:smallCaps w:val="false"/>
              </w:rPr>
            </w:pPr>
            <w:r>
              <w:rPr>
                <w:caps w:val="false"/>
                <w:smallCaps w:val="false"/>
              </w:rPr>
              <w:t> </w:t>
            </w:r>
          </w:p>
        </w:tc>
        <w:tc>
          <w:tcPr>
            <w:tcW w:w="2905" w:type="dxa"/>
            <w:tcBorders/>
            <w:vAlign w:val="center"/>
          </w:tcPr>
          <w:p>
            <w:pPr>
              <w:pStyle w:val="TableContents"/>
              <w:bidi w:val="0"/>
              <w:spacing w:before="0" w:after="0"/>
              <w:jc w:val="left"/>
              <w:rPr>
                <w:caps w:val="false"/>
                <w:smallCaps w:val="false"/>
              </w:rPr>
            </w:pPr>
            <w:r>
              <w:rPr>
                <w:caps w:val="false"/>
                <w:smallCaps w:val="false"/>
              </w:rPr>
              <w:t> </w:t>
            </w:r>
          </w:p>
        </w:tc>
        <w:tc>
          <w:tcPr>
            <w:tcW w:w="3662"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Dillard’s, Inc.</w:t>
            </w:r>
          </w:p>
        </w:tc>
      </w:tr>
      <w:tr>
        <w:trPr/>
        <w:tc>
          <w:tcPr>
            <w:tcW w:w="10205" w:type="dxa"/>
            <w:gridSpan w:val="3"/>
            <w:tcBorders/>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New York Stock Exchange</w:t>
            </w:r>
          </w:p>
        </w:tc>
      </w:tr>
      <w:tr>
        <w:trPr/>
        <w:tc>
          <w:tcPr>
            <w:tcW w:w="10205" w:type="dxa"/>
            <w:gridSpan w:val="3"/>
            <w:tcBorders>
              <w:top w:val="single" w:sz="8" w:space="0" w:color="000000"/>
            </w:tcBorders>
            <w:tcMar>
              <w:top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Issuer as specified in its charter, and name of Exchange where security is listed and/or registered)</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9612"/>
        <w:gridCol w:w="297"/>
      </w:tblGrid>
      <w:tr>
        <w:trPr/>
        <w:tc>
          <w:tcPr>
            <w:tcW w:w="296" w:type="dxa"/>
            <w:tcBorders/>
            <w:vAlign w:val="center"/>
          </w:tcPr>
          <w:p>
            <w:pPr>
              <w:pStyle w:val="TableContents"/>
              <w:bidi w:val="0"/>
              <w:spacing w:before="0" w:after="0"/>
              <w:jc w:val="left"/>
              <w:rPr>
                <w:caps w:val="false"/>
                <w:smallCaps w:val="false"/>
              </w:rPr>
            </w:pPr>
            <w:r>
              <w:rPr>
                <w:caps w:val="false"/>
                <w:smallCaps w:val="false"/>
              </w:rPr>
              <w:t> </w:t>
            </w:r>
          </w:p>
        </w:tc>
        <w:tc>
          <w:tcPr>
            <w:tcW w:w="9612" w:type="dxa"/>
            <w:tcBorders/>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1600 Cantrell Road</w:t>
              <w:br/>
              <w:t>Little Rock, Arkansas 72201</w:t>
            </w:r>
          </w:p>
        </w:tc>
        <w:tc>
          <w:tcPr>
            <w:tcW w:w="297"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 376-5200</w:t>
            </w:r>
          </w:p>
        </w:tc>
      </w:tr>
      <w:tr>
        <w:trPr/>
        <w:tc>
          <w:tcPr>
            <w:tcW w:w="10205" w:type="dxa"/>
            <w:gridSpan w:val="3"/>
            <w:tcBorders>
              <w:top w:val="single" w:sz="8" w:space="0" w:color="000000"/>
            </w:tcBorders>
            <w:tcMar>
              <w:top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including zip code, and telephone number, including area code, of Issuer’s principal executive offices)</w:t>
            </w:r>
          </w:p>
        </w:tc>
      </w:tr>
    </w:tbl>
    <w:tbl>
      <w:tblPr>
        <w:tblW w:w="5000" w:type="pct"/>
        <w:jc w:val="left"/>
        <w:tblInd w:w="0" w:type="dxa"/>
        <w:tblLayout w:type="fixed"/>
        <w:tblCellMar>
          <w:top w:w="0" w:type="dxa"/>
          <w:left w:w="0" w:type="dxa"/>
          <w:bottom w:w="0" w:type="dxa"/>
          <w:right w:w="0" w:type="dxa"/>
        </w:tblCellMar>
      </w:tblPr>
      <w:tblGrid>
        <w:gridCol w:w="3640"/>
        <w:gridCol w:w="2912"/>
        <w:gridCol w:w="3653"/>
      </w:tblGrid>
      <w:tr>
        <w:trPr/>
        <w:tc>
          <w:tcPr>
            <w:tcW w:w="3640" w:type="dxa"/>
            <w:tcBorders/>
            <w:vAlign w:val="center"/>
          </w:tcPr>
          <w:p>
            <w:pPr>
              <w:pStyle w:val="TableContents"/>
              <w:bidi w:val="0"/>
              <w:spacing w:before="0" w:after="0"/>
              <w:jc w:val="left"/>
              <w:rPr>
                <w:caps w:val="false"/>
                <w:smallCaps w:val="false"/>
              </w:rPr>
            </w:pPr>
            <w:r>
              <w:rPr>
                <w:caps w:val="false"/>
                <w:smallCaps w:val="false"/>
              </w:rPr>
              <w:t> </w:t>
            </w:r>
          </w:p>
        </w:tc>
        <w:tc>
          <w:tcPr>
            <w:tcW w:w="2912" w:type="dxa"/>
            <w:tcBorders/>
            <w:vAlign w:val="center"/>
          </w:tcPr>
          <w:p>
            <w:pPr>
              <w:pStyle w:val="TableContents"/>
              <w:bidi w:val="0"/>
              <w:spacing w:before="0" w:after="0"/>
              <w:jc w:val="left"/>
              <w:rPr>
                <w:caps w:val="false"/>
                <w:smallCaps w:val="false"/>
              </w:rPr>
            </w:pPr>
            <w:r>
              <w:rPr>
                <w:caps w:val="false"/>
                <w:smallCaps w:val="false"/>
              </w:rPr>
              <w:t> </w:t>
            </w:r>
          </w:p>
        </w:tc>
        <w:tc>
          <w:tcPr>
            <w:tcW w:w="3653"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Class A Common Stock, $0.01 par value per share</w:t>
            </w:r>
          </w:p>
        </w:tc>
      </w:tr>
      <w:tr>
        <w:trPr/>
        <w:tc>
          <w:tcPr>
            <w:tcW w:w="10205" w:type="dxa"/>
            <w:gridSpan w:val="3"/>
            <w:tcBorders>
              <w:top w:val="single" w:sz="8" w:space="0" w:color="000000"/>
            </w:tcBorders>
            <w:tcMar>
              <w:top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(Description of class of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Please place an X in the box to designate the rule provision relied upon to strike the class of securities from listing and registration:</w:t>
      </w:r>
    </w:p>
    <w:tbl>
      <w:tblPr>
        <w:tblW w:w="10205" w:type="dxa"/>
        <w:jc w:val="left"/>
        <w:tblInd w:w="0" w:type="dxa"/>
        <w:tblLayout w:type="fixed"/>
        <w:tblCellMar>
          <w:top w:w="0" w:type="dxa"/>
          <w:left w:w="0" w:type="dxa"/>
          <w:bottom w:w="0" w:type="dxa"/>
          <w:right w:w="0" w:type="dxa"/>
        </w:tblCellMar>
      </w:tblPr>
      <w:tblGrid>
        <w:gridCol w:w="94"/>
        <w:gridCol w:w="75"/>
        <w:gridCol w:w="76"/>
        <w:gridCol w:w="3138"/>
        <w:gridCol w:w="3028"/>
        <w:gridCol w:w="3794"/>
      </w:tblGrid>
      <w:tr>
        <w:trPr/>
        <w:tc>
          <w:tcPr>
            <w:tcW w:w="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3138"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pPr>
            <w:r>
              <w:rPr/>
              <w:t> </w:t>
            </w:r>
          </w:p>
        </w:tc>
        <w:tc>
          <w:tcPr>
            <w:tcW w:w="3794" w:type="dxa"/>
            <w:tcBorders/>
            <w:vAlign w:val="center"/>
          </w:tcPr>
          <w:p>
            <w:pPr>
              <w:pStyle w:val="TableContents"/>
              <w:bidi w:val="0"/>
              <w:spacing w:before="0" w:after="283"/>
              <w:jc w:val="left"/>
              <w:rPr/>
            </w:pPr>
            <w:r>
              <w:rPr/>
              <w:t> </w:t>
            </w:r>
          </w:p>
        </w:tc>
      </w:tr>
      <w:tr>
        <w:trPr/>
        <w:tc>
          <w:tcPr>
            <w:tcW w:w="245" w:type="dxa"/>
            <w:gridSpan w:val="3"/>
            <w:tcBorders/>
            <w:vAlign w:val="center"/>
          </w:tcPr>
          <w:p>
            <w:pPr>
              <w:pStyle w:val="TableContents"/>
              <w:bidi w:val="0"/>
              <w:spacing w:before="0" w:after="283"/>
              <w:jc w:val="left"/>
              <w:rPr>
                <w:color w:val="000000"/>
              </w:rPr>
            </w:pPr>
            <w:r>
              <w:rPr>
                <w:color w:val="000000"/>
              </w:rPr>
              <w:t>☐</w:t>
            </w:r>
          </w:p>
        </w:tc>
        <w:tc>
          <w:tcPr>
            <w:tcW w:w="9960" w:type="dxa"/>
            <w:gridSpan w:val="3"/>
            <w:tcBorders/>
            <w:vAlign w:val="center"/>
          </w:tcPr>
          <w:p>
            <w:pPr>
              <w:pStyle w:val="TableContents"/>
              <w:bidi w:val="0"/>
              <w:spacing w:before="0" w:after="283"/>
              <w:jc w:val="left"/>
              <w:rPr>
                <w:color w:val="000000"/>
                <w:sz w:val="20"/>
              </w:rPr>
            </w:pPr>
            <w:r>
              <w:rPr>
                <w:color w:val="000000"/>
                <w:sz w:val="20"/>
              </w:rPr>
              <w:t>17 CFR 240.12d2-2(a)(1)</w:t>
            </w:r>
          </w:p>
        </w:tc>
      </w:tr>
      <w:tr>
        <w:trPr/>
        <w:tc>
          <w:tcPr>
            <w:tcW w:w="245" w:type="dxa"/>
            <w:gridSpan w:val="3"/>
            <w:tcBorders/>
            <w:vAlign w:val="center"/>
          </w:tcPr>
          <w:p>
            <w:pPr>
              <w:pStyle w:val="TableContents"/>
              <w:bidi w:val="0"/>
              <w:spacing w:before="0" w:after="283"/>
              <w:jc w:val="left"/>
              <w:rPr/>
            </w:pPr>
            <w:r>
              <w:rPr/>
              <w:t> </w:t>
            </w:r>
          </w:p>
        </w:tc>
        <w:tc>
          <w:tcPr>
            <w:tcW w:w="9960" w:type="dxa"/>
            <w:gridSpan w:val="3"/>
            <w:tcBorders/>
            <w:vAlign w:val="center"/>
          </w:tcPr>
          <w:p>
            <w:pPr>
              <w:pStyle w:val="TableContents"/>
              <w:bidi w:val="0"/>
              <w:spacing w:before="0" w:after="283"/>
              <w:jc w:val="left"/>
              <w:rPr/>
            </w:pPr>
            <w:r>
              <w:rPr/>
              <w:t> </w:t>
            </w:r>
          </w:p>
        </w:tc>
      </w:tr>
      <w:tr>
        <w:trPr/>
        <w:tc>
          <w:tcPr>
            <w:tcW w:w="245" w:type="dxa"/>
            <w:gridSpan w:val="3"/>
            <w:tcBorders/>
            <w:vAlign w:val="center"/>
          </w:tcPr>
          <w:p>
            <w:pPr>
              <w:pStyle w:val="TableContents"/>
              <w:bidi w:val="0"/>
              <w:spacing w:before="0" w:after="283"/>
              <w:jc w:val="left"/>
              <w:rPr>
                <w:color w:val="000000"/>
              </w:rPr>
            </w:pPr>
            <w:r>
              <w:rPr>
                <w:color w:val="000000"/>
              </w:rPr>
              <w:t>☐</w:t>
            </w:r>
          </w:p>
        </w:tc>
        <w:tc>
          <w:tcPr>
            <w:tcW w:w="9960" w:type="dxa"/>
            <w:gridSpan w:val="3"/>
            <w:tcBorders/>
            <w:vAlign w:val="center"/>
          </w:tcPr>
          <w:p>
            <w:pPr>
              <w:pStyle w:val="TableContents"/>
              <w:bidi w:val="0"/>
              <w:spacing w:before="0" w:after="283"/>
              <w:jc w:val="left"/>
              <w:rPr>
                <w:color w:val="000000"/>
                <w:sz w:val="20"/>
              </w:rPr>
            </w:pPr>
            <w:r>
              <w:rPr>
                <w:color w:val="000000"/>
                <w:sz w:val="20"/>
              </w:rPr>
              <w:t>17 CFR 240.12d2-2(a)(2)</w:t>
            </w:r>
          </w:p>
        </w:tc>
      </w:tr>
      <w:tr>
        <w:trPr/>
        <w:tc>
          <w:tcPr>
            <w:tcW w:w="245" w:type="dxa"/>
            <w:gridSpan w:val="3"/>
            <w:tcBorders/>
            <w:vAlign w:val="center"/>
          </w:tcPr>
          <w:p>
            <w:pPr>
              <w:pStyle w:val="TableContents"/>
              <w:bidi w:val="0"/>
              <w:spacing w:before="0" w:after="283"/>
              <w:jc w:val="left"/>
              <w:rPr/>
            </w:pPr>
            <w:r>
              <w:rPr/>
              <w:t> </w:t>
            </w:r>
          </w:p>
        </w:tc>
        <w:tc>
          <w:tcPr>
            <w:tcW w:w="9960" w:type="dxa"/>
            <w:gridSpan w:val="3"/>
            <w:tcBorders/>
            <w:vAlign w:val="center"/>
          </w:tcPr>
          <w:p>
            <w:pPr>
              <w:pStyle w:val="TableContents"/>
              <w:bidi w:val="0"/>
              <w:spacing w:before="0" w:after="283"/>
              <w:jc w:val="left"/>
              <w:rPr/>
            </w:pPr>
            <w:r>
              <w:rPr/>
              <w:t> </w:t>
            </w:r>
          </w:p>
        </w:tc>
      </w:tr>
      <w:tr>
        <w:trPr/>
        <w:tc>
          <w:tcPr>
            <w:tcW w:w="245" w:type="dxa"/>
            <w:gridSpan w:val="3"/>
            <w:tcBorders/>
            <w:vAlign w:val="center"/>
          </w:tcPr>
          <w:p>
            <w:pPr>
              <w:pStyle w:val="TableContents"/>
              <w:bidi w:val="0"/>
              <w:spacing w:before="0" w:after="283"/>
              <w:jc w:val="left"/>
              <w:rPr>
                <w:color w:val="000000"/>
              </w:rPr>
            </w:pPr>
            <w:r>
              <w:rPr>
                <w:color w:val="000000"/>
              </w:rPr>
              <w:t>☐</w:t>
            </w:r>
          </w:p>
        </w:tc>
        <w:tc>
          <w:tcPr>
            <w:tcW w:w="9960" w:type="dxa"/>
            <w:gridSpan w:val="3"/>
            <w:tcBorders/>
            <w:vAlign w:val="center"/>
          </w:tcPr>
          <w:p>
            <w:pPr>
              <w:pStyle w:val="TableContents"/>
              <w:bidi w:val="0"/>
              <w:spacing w:before="0" w:after="283"/>
              <w:jc w:val="left"/>
              <w:rPr>
                <w:color w:val="000000"/>
                <w:sz w:val="20"/>
              </w:rPr>
            </w:pPr>
            <w:r>
              <w:rPr>
                <w:color w:val="000000"/>
                <w:sz w:val="20"/>
              </w:rPr>
              <w:t>17 CFR 240.12d2-2(a)(3)</w:t>
            </w:r>
          </w:p>
        </w:tc>
      </w:tr>
      <w:tr>
        <w:trPr/>
        <w:tc>
          <w:tcPr>
            <w:tcW w:w="245" w:type="dxa"/>
            <w:gridSpan w:val="3"/>
            <w:tcBorders/>
            <w:vAlign w:val="center"/>
          </w:tcPr>
          <w:p>
            <w:pPr>
              <w:pStyle w:val="TableContents"/>
              <w:bidi w:val="0"/>
              <w:spacing w:before="0" w:after="283"/>
              <w:jc w:val="left"/>
              <w:rPr/>
            </w:pPr>
            <w:r>
              <w:rPr/>
              <w:t> </w:t>
            </w:r>
          </w:p>
        </w:tc>
        <w:tc>
          <w:tcPr>
            <w:tcW w:w="9960" w:type="dxa"/>
            <w:gridSpan w:val="3"/>
            <w:tcBorders/>
            <w:vAlign w:val="center"/>
          </w:tcPr>
          <w:p>
            <w:pPr>
              <w:pStyle w:val="TableContents"/>
              <w:bidi w:val="0"/>
              <w:spacing w:before="0" w:after="283"/>
              <w:jc w:val="left"/>
              <w:rPr/>
            </w:pPr>
            <w:r>
              <w:rPr/>
              <w:t> </w:t>
            </w:r>
          </w:p>
        </w:tc>
      </w:tr>
      <w:tr>
        <w:trPr/>
        <w:tc>
          <w:tcPr>
            <w:tcW w:w="245" w:type="dxa"/>
            <w:gridSpan w:val="3"/>
            <w:tcBorders/>
            <w:vAlign w:val="center"/>
          </w:tcPr>
          <w:p>
            <w:pPr>
              <w:pStyle w:val="TableContents"/>
              <w:bidi w:val="0"/>
              <w:spacing w:before="0" w:after="283"/>
              <w:jc w:val="left"/>
              <w:rPr>
                <w:color w:val="000000"/>
              </w:rPr>
            </w:pPr>
            <w:r>
              <w:rPr>
                <w:color w:val="000000"/>
              </w:rPr>
              <w:t>☐</w:t>
            </w:r>
          </w:p>
        </w:tc>
        <w:tc>
          <w:tcPr>
            <w:tcW w:w="9960" w:type="dxa"/>
            <w:gridSpan w:val="3"/>
            <w:tcBorders/>
            <w:vAlign w:val="center"/>
          </w:tcPr>
          <w:p>
            <w:pPr>
              <w:pStyle w:val="TableContents"/>
              <w:bidi w:val="0"/>
              <w:spacing w:before="0" w:after="283"/>
              <w:jc w:val="left"/>
              <w:rPr>
                <w:color w:val="000000"/>
                <w:sz w:val="20"/>
              </w:rPr>
            </w:pPr>
            <w:r>
              <w:rPr>
                <w:color w:val="000000"/>
                <w:sz w:val="20"/>
              </w:rPr>
              <w:t>17 CFR 240.12d2-2(a)(4)</w:t>
            </w:r>
          </w:p>
        </w:tc>
      </w:tr>
      <w:tr>
        <w:trPr/>
        <w:tc>
          <w:tcPr>
            <w:tcW w:w="245" w:type="dxa"/>
            <w:gridSpan w:val="3"/>
            <w:tcBorders/>
            <w:vAlign w:val="center"/>
          </w:tcPr>
          <w:p>
            <w:pPr>
              <w:pStyle w:val="TableContents"/>
              <w:bidi w:val="0"/>
              <w:spacing w:before="0" w:after="283"/>
              <w:jc w:val="left"/>
              <w:rPr/>
            </w:pPr>
            <w:r>
              <w:rPr/>
              <w:t> </w:t>
            </w:r>
          </w:p>
        </w:tc>
        <w:tc>
          <w:tcPr>
            <w:tcW w:w="9960" w:type="dxa"/>
            <w:gridSpan w:val="3"/>
            <w:tcBorders/>
            <w:vAlign w:val="center"/>
          </w:tcPr>
          <w:p>
            <w:pPr>
              <w:pStyle w:val="TableContents"/>
              <w:bidi w:val="0"/>
              <w:spacing w:before="0" w:after="283"/>
              <w:jc w:val="left"/>
              <w:rPr/>
            </w:pPr>
            <w:r>
              <w:rPr/>
              <w:t> </w:t>
            </w:r>
          </w:p>
        </w:tc>
      </w:tr>
      <w:tr>
        <w:trPr/>
        <w:tc>
          <w:tcPr>
            <w:tcW w:w="245" w:type="dxa"/>
            <w:gridSpan w:val="3"/>
            <w:tcBorders/>
            <w:vAlign w:val="center"/>
          </w:tcPr>
          <w:p>
            <w:pPr>
              <w:pStyle w:val="TableContents"/>
              <w:bidi w:val="0"/>
              <w:spacing w:before="0" w:after="283"/>
              <w:jc w:val="left"/>
              <w:rPr>
                <w:color w:val="000000"/>
              </w:rPr>
            </w:pPr>
            <w:r>
              <w:rPr>
                <w:color w:val="000000"/>
              </w:rPr>
              <w:t>☐</w:t>
            </w:r>
          </w:p>
        </w:tc>
        <w:tc>
          <w:tcPr>
            <w:tcW w:w="9960" w:type="dxa"/>
            <w:gridSpan w:val="3"/>
            <w:tcBorders/>
            <w:vAlign w:val="center"/>
          </w:tcPr>
          <w:p>
            <w:pPr>
              <w:pStyle w:val="TableContents"/>
              <w:bidi w:val="0"/>
              <w:spacing w:before="0" w:after="283"/>
              <w:jc w:val="left"/>
              <w:rPr>
                <w:color w:val="000000"/>
                <w:sz w:val="20"/>
              </w:rPr>
            </w:pPr>
            <w:r>
              <w:rPr>
                <w:color w:val="000000"/>
                <w:sz w:val="20"/>
              </w:rPr>
              <w:t xml:space="preserve">Pursuant to 17 CFR 240.12d2-2(b), the Exchange has complied with its rules to strike the class of securities from listing and/or withdraw registration on the Exchange. </w:t>
            </w:r>
            <w:r>
              <w:rPr>
                <w:color w:val="000000"/>
                <w:position w:val="7"/>
                <w:sz w:val="16"/>
                <w:sz w:val="20"/>
              </w:rPr>
              <w:t>1</w:t>
            </w:r>
          </w:p>
        </w:tc>
      </w:tr>
      <w:tr>
        <w:trPr/>
        <w:tc>
          <w:tcPr>
            <w:tcW w:w="245" w:type="dxa"/>
            <w:gridSpan w:val="3"/>
            <w:tcBorders/>
            <w:vAlign w:val="center"/>
          </w:tcPr>
          <w:p>
            <w:pPr>
              <w:pStyle w:val="TableContents"/>
              <w:bidi w:val="0"/>
              <w:spacing w:before="0" w:after="283"/>
              <w:jc w:val="left"/>
              <w:rPr/>
            </w:pPr>
            <w:r>
              <w:rPr/>
              <w:t> </w:t>
            </w:r>
          </w:p>
        </w:tc>
        <w:tc>
          <w:tcPr>
            <w:tcW w:w="9960" w:type="dxa"/>
            <w:gridSpan w:val="3"/>
            <w:tcBorders/>
            <w:vAlign w:val="center"/>
          </w:tcPr>
          <w:p>
            <w:pPr>
              <w:pStyle w:val="TableContents"/>
              <w:bidi w:val="0"/>
              <w:spacing w:before="0" w:after="283"/>
              <w:jc w:val="left"/>
              <w:rPr/>
            </w:pPr>
            <w:r>
              <w:rPr/>
              <w:t> </w:t>
            </w:r>
          </w:p>
        </w:tc>
      </w:tr>
      <w:tr>
        <w:trPr/>
        <w:tc>
          <w:tcPr>
            <w:tcW w:w="245" w:type="dxa"/>
            <w:gridSpan w:val="3"/>
            <w:tcBorders/>
            <w:vAlign w:val="center"/>
          </w:tcPr>
          <w:p>
            <w:pPr>
              <w:pStyle w:val="TableContents"/>
              <w:bidi w:val="0"/>
              <w:spacing w:before="0" w:after="283"/>
              <w:jc w:val="left"/>
              <w:rPr>
                <w:color w:val="000000"/>
              </w:rPr>
            </w:pPr>
            <w:r>
              <w:rPr>
                <w:color w:val="000000"/>
              </w:rPr>
              <w:t>☒</w:t>
            </w:r>
          </w:p>
        </w:tc>
        <w:tc>
          <w:tcPr>
            <w:tcW w:w="9960" w:type="dxa"/>
            <w:gridSpan w:val="3"/>
            <w:tcBorders/>
            <w:vAlign w:val="center"/>
          </w:tcPr>
          <w:p>
            <w:pPr>
              <w:pStyle w:val="TableContents"/>
              <w:bidi w:val="0"/>
              <w:spacing w:before="0" w:after="283"/>
              <w:jc w:val="left"/>
              <w:rPr>
                <w:color w:val="000000"/>
                <w:sz w:val="20"/>
              </w:rPr>
            </w:pPr>
            <w:r>
              <w:rPr>
                <w:color w:val="000000"/>
                <w:sz w:val="20"/>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before="0" w:after="0"/>
        <w:ind w:left="0" w:right="16"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requirements of the Securities Exchange Act of 1934, Dillard’s, Inc.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0" w:after="0"/>
        <w:jc w:val="left"/>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1340"/>
        <w:gridCol w:w="60"/>
        <w:gridCol w:w="1880"/>
        <w:gridCol w:w="60"/>
        <w:gridCol w:w="2945"/>
      </w:tblGrid>
      <w:tr>
        <w:trPr/>
        <w:tc>
          <w:tcPr>
            <w:tcW w:w="1340" w:type="dxa"/>
            <w:tcBorders>
              <w:bottom w:val="single" w:sz="8" w:space="0" w:color="000000"/>
            </w:tcBorders>
            <w:vAlign w:val="center"/>
          </w:tcPr>
          <w:p>
            <w:pPr>
              <w:pStyle w:val="TableContents"/>
              <w:bidi w:val="0"/>
              <w:spacing w:before="0" w:after="283"/>
              <w:jc w:val="left"/>
              <w:rPr>
                <w:color w:val="000000"/>
                <w:sz w:val="20"/>
              </w:rPr>
            </w:pPr>
            <w:r>
              <w:rPr>
                <w:color w:val="000000"/>
                <w:sz w:val="20"/>
              </w:rPr>
              <w:t>October 5, 2026</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left"/>
              <w:rPr>
                <w:color w:val="000000"/>
                <w:sz w:val="20"/>
              </w:rPr>
            </w:pPr>
            <w:r>
              <w:rPr>
                <w:color w:val="000000"/>
                <w:sz w:val="20"/>
              </w:rPr>
              <w:t>By: /s/ Dean L. Worley</w:t>
            </w:r>
          </w:p>
        </w:tc>
        <w:tc>
          <w:tcPr>
            <w:tcW w:w="6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left"/>
              <w:rPr>
                <w:sz w:val="20"/>
              </w:rPr>
            </w:pPr>
            <w:r>
              <w:rPr>
                <w:sz w:val="20"/>
              </w:rPr>
              <w:t>Vice President and General Counsel</w:t>
            </w:r>
          </w:p>
        </w:tc>
      </w:tr>
      <w:tr>
        <w:trPr/>
        <w:tc>
          <w:tcPr>
            <w:tcW w:w="1340" w:type="dxa"/>
            <w:tcBorders/>
            <w:tcMar>
              <w:bottom w:w="0" w:type="dxa"/>
            </w:tcMar>
            <w:vAlign w:val="center"/>
          </w:tcPr>
          <w:p>
            <w:pPr>
              <w:pStyle w:val="TableContents"/>
              <w:bidi w:val="0"/>
              <w:spacing w:before="0" w:after="283"/>
              <w:jc w:val="center"/>
              <w:rPr>
                <w:color w:val="000000"/>
                <w:sz w:val="20"/>
              </w:rPr>
            </w:pPr>
            <w:r>
              <w:rPr>
                <w:color w:val="000000"/>
                <w:sz w:val="20"/>
              </w:rPr>
              <w:t>Date</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color w:val="000000"/>
                <w:sz w:val="20"/>
              </w:rPr>
            </w:pPr>
            <w:r>
              <w:rPr>
                <w:color w:val="000000"/>
                <w:sz w:val="20"/>
              </w:rPr>
              <w:t>Name</w:t>
            </w:r>
          </w:p>
        </w:tc>
        <w:tc>
          <w:tcPr>
            <w:tcW w:w="6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color w:val="000000"/>
                <w:sz w:val="20"/>
              </w:rPr>
            </w:pPr>
            <w:r>
              <w:rPr>
                <w:color w:val="000000"/>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Form 25 and attached Notice will be considered compliance with the provisions of 17 CFR 240.19d-1 as applicable. See General Instructions.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290</Words>
  <Characters>1549</Characters>
  <CharactersWithSpaces>1846</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