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62026_100807.xml.htm"/>
      <w:bookmarkStart w:id="1" w:name="ksform408262026_1008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MATHENY DRUE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8"/>
        <w:gridCol w:w="902"/>
        <w:gridCol w:w="773"/>
        <w:gridCol w:w="599"/>
        <w:gridCol w:w="341"/>
        <w:gridCol w:w="775"/>
        <w:gridCol w:w="433"/>
        <w:gridCol w:w="834"/>
        <w:gridCol w:w="1128"/>
        <w:gridCol w:w="972"/>
        <w:gridCol w:w="107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638.19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404,166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35,539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3,521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205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273,724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273,724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amount reported represents shares of Issuer Class A Common Stock held by a trust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amount reported represents shares of Issuer Class A Common Stock held by the reporting person's spouse.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of Issuer Class B Common Stock are convertible at the option of any holder thereof into shares of Issuer Class A Common Stock on a one-for-one basis. Issuer Class B Common Stock has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Drue Matheny By: Julie Guymon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0017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678</Words>
  <Characters>3584</Characters>
  <CharactersWithSpaces>4174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