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341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416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873"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Lucie Denise Alexandra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CANTRELL RD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DILLARD'S,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DDS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924"/>
        <w:spacing w:after="0"/>
        <w:rPr>
          <w:sz w:val="20"/>
          <w:szCs w:val="20"/>
          <w:color w:val="auto"/>
        </w:rPr>
      </w:pPr>
      <w:r>
        <w:rPr>
          <w:rFonts w:ascii="Times New Roman" w:cs="Times New Roman" w:eastAsia="Times New Roman" w:hAnsi="Times New Roman"/>
          <w:sz w:val="17"/>
          <w:szCs w:val="17"/>
          <w:color w:val="0000FF"/>
        </w:rPr>
        <w:t>VICE PRESIDENT</w:t>
      </w:r>
    </w:p>
    <w:p>
      <w:pPr>
        <w:spacing w:after="0" w:line="305" w:lineRule="exact"/>
        <w:rPr>
          <w:sz w:val="24"/>
          <w:szCs w:val="24"/>
          <w:color w:val="auto"/>
        </w:rPr>
      </w:pPr>
    </w:p>
    <w:p>
      <w:pPr>
        <w:sectPr>
          <w:pgSz w:w="11900" w:h="16838" w:orient="portrait"/>
          <w:cols w:equalWidth="0" w:num="3">
            <w:col w:w="3180" w:space="720"/>
            <w:col w:w="3116" w:space="720"/>
            <w:col w:w="3344"/>
          </w:cols>
          <w:pgMar w:left="460" w:top="216" w:right="359" w:bottom="873" w:gutter="0" w:footer="0" w:header="0"/>
          <w:type w:val="continuous"/>
        </w:sectPr>
      </w:pPr>
    </w:p>
    <w:tbl>
      <w:tblPr>
        <w:tblLayout w:type="fixed"/>
        <w:tblInd w:w="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98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680" w:type="dxa"/>
            <w:vAlign w:val="bottom"/>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vMerge w:val="restart"/>
          </w:tcPr>
          <w:p>
            <w:pPr>
              <w:ind w:left="300"/>
              <w:spacing w:after="0"/>
              <w:rPr>
                <w:sz w:val="20"/>
                <w:szCs w:val="20"/>
                <w:color w:val="auto"/>
              </w:rPr>
            </w:pPr>
            <w:r>
              <w:rPr>
                <w:rFonts w:ascii="Arial" w:cs="Arial" w:eastAsia="Arial" w:hAnsi="Arial"/>
                <w:sz w:val="13"/>
                <w:szCs w:val="13"/>
                <w:color w:val="auto"/>
                <w:w w:val="97"/>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680" w:type="dxa"/>
            <w:vAlign w:val="bottom"/>
            <w:vMerge w:val="continue"/>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20" w:type="dxa"/>
            <w:vAlign w:val="bottom"/>
          </w:tcPr>
          <w:p>
            <w:pPr>
              <w:ind w:left="30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LITTLE ROCK  AR</w:t>
            </w:r>
          </w:p>
        </w:tc>
        <w:tc>
          <w:tcPr>
            <w:tcW w:w="168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0000FF"/>
              </w:rPr>
              <w:t>72201</w:t>
            </w:r>
          </w:p>
        </w:tc>
        <w:tc>
          <w:tcPr>
            <w:tcW w:w="3680" w:type="dxa"/>
            <w:vAlign w:val="bottom"/>
          </w:tcPr>
          <w:p>
            <w:pPr>
              <w:spacing w:after="0"/>
              <w:rPr>
                <w:sz w:val="19"/>
                <w:szCs w:val="19"/>
                <w:color w:val="auto"/>
              </w:rPr>
            </w:pPr>
          </w:p>
        </w:tc>
        <w:tc>
          <w:tcPr>
            <w:tcW w:w="3220" w:type="dxa"/>
            <w:vAlign w:val="bottom"/>
          </w:tcPr>
          <w:p>
            <w:pPr>
              <w:ind w:left="8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3680" w:type="dxa"/>
            <w:vAlign w:val="bottom"/>
          </w:tcPr>
          <w:p>
            <w:pPr>
              <w:spacing w:after="0"/>
              <w:rPr>
                <w:sz w:val="12"/>
                <w:szCs w:val="12"/>
                <w:color w:val="auto"/>
              </w:rPr>
            </w:pPr>
          </w:p>
        </w:tc>
        <w:tc>
          <w:tcPr>
            <w:tcW w:w="3220" w:type="dxa"/>
            <w:vAlign w:val="bottom"/>
          </w:tcPr>
          <w:p>
            <w:pPr>
              <w:ind w:left="8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220" w:type="dxa"/>
            <w:vAlign w:val="bottom"/>
          </w:tcPr>
          <w:p>
            <w:pPr>
              <w:ind w:left="840"/>
              <w:spacing w:after="0" w:line="140"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Class A</w:t>
            </w:r>
          </w:p>
        </w:tc>
        <w:tc>
          <w:tcPr>
            <w:tcW w:w="1060" w:type="dxa"/>
            <w:vAlign w:val="bottom"/>
          </w:tcPr>
          <w:p>
            <w:pPr>
              <w:spacing w:after="0"/>
              <w:rPr>
                <w:sz w:val="21"/>
                <w:szCs w:val="21"/>
                <w:color w:val="auto"/>
              </w:rPr>
            </w:pPr>
          </w:p>
        </w:tc>
        <w:tc>
          <w:tcPr>
            <w:tcW w:w="18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06/04/2026</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151</w:t>
            </w:r>
            <w:r>
              <w:rPr>
                <w:rFonts w:ascii="Times New Roman" w:cs="Times New Roman" w:eastAsia="Times New Roman" w:hAnsi="Times New Roman"/>
                <w:sz w:val="21"/>
                <w:szCs w:val="21"/>
                <w:color w:val="008000"/>
                <w:vertAlign w:val="superscript"/>
              </w:rPr>
              <w:t>(1)</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38,574</w:t>
            </w:r>
          </w:p>
        </w:tc>
        <w:tc>
          <w:tcPr>
            <w:tcW w:w="340" w:type="dxa"/>
            <w:vAlign w:val="bottom"/>
          </w:tcPr>
          <w:p>
            <w:pPr>
              <w:spacing w:after="0"/>
              <w:rPr>
                <w:sz w:val="21"/>
                <w:szCs w:val="21"/>
                <w:color w:val="auto"/>
              </w:rPr>
            </w:pPr>
          </w:p>
        </w:tc>
        <w:tc>
          <w:tcPr>
            <w:tcW w:w="540" w:type="dxa"/>
            <w:vAlign w:val="bottom"/>
            <w:vMerge w:val="restart"/>
          </w:tcPr>
          <w:p>
            <w:pPr>
              <w:jc w:val="center"/>
              <w:ind w:right="29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Class A</w:t>
            </w:r>
          </w:p>
        </w:tc>
        <w:tc>
          <w:tcPr>
            <w:tcW w:w="106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37,108</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jc w:val="center"/>
              <w:ind w:right="273"/>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Class A - Retirement Plan</w:t>
            </w:r>
          </w:p>
        </w:tc>
        <w:tc>
          <w:tcPr>
            <w:tcW w:w="1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5,122</w:t>
            </w:r>
          </w:p>
        </w:tc>
        <w:tc>
          <w:tcPr>
            <w:tcW w:w="340" w:type="dxa"/>
            <w:vAlign w:val="bottom"/>
          </w:tcPr>
          <w:p>
            <w:pPr>
              <w:spacing w:after="0"/>
              <w:rPr>
                <w:sz w:val="22"/>
                <w:szCs w:val="22"/>
                <w:color w:val="auto"/>
              </w:rPr>
            </w:pPr>
          </w:p>
        </w:tc>
        <w:tc>
          <w:tcPr>
            <w:tcW w:w="540" w:type="dxa"/>
            <w:vAlign w:val="bottom"/>
          </w:tcPr>
          <w:p>
            <w:pPr>
              <w:jc w:val="center"/>
              <w:ind w:right="273"/>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Class A</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13,621</w:t>
            </w:r>
          </w:p>
        </w:tc>
        <w:tc>
          <w:tcPr>
            <w:tcW w:w="340" w:type="dxa"/>
            <w:vAlign w:val="bottom"/>
          </w:tcPr>
          <w:p>
            <w:pPr>
              <w:spacing w:after="0"/>
              <w:rPr>
                <w:sz w:val="21"/>
                <w:szCs w:val="21"/>
                <w:color w:val="auto"/>
              </w:rPr>
            </w:pPr>
          </w:p>
        </w:tc>
        <w:tc>
          <w:tcPr>
            <w:tcW w:w="540" w:type="dxa"/>
            <w:vAlign w:val="bottom"/>
            <w:vMerge w:val="restart"/>
          </w:tcPr>
          <w:p>
            <w:pPr>
              <w:jc w:val="center"/>
              <w:ind w:right="29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Acquired (A)</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or Disposed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of (D) (Instr. 3,</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13"/>
                <w:szCs w:val="13"/>
                <w:color w:val="auto"/>
              </w:rPr>
            </w:pP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5"/>
                <w:szCs w:val="15"/>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4"/>
              </w:rPr>
              <w:t>14,557</w:t>
            </w:r>
          </w:p>
        </w:tc>
        <w:tc>
          <w:tcPr>
            <w:tcW w:w="220" w:type="dxa"/>
            <w:vAlign w:val="bottom"/>
            <w:vMerge w:val="restart"/>
          </w:tcPr>
          <w:p>
            <w:pPr>
              <w:jc w:val="right"/>
              <w:ind w:right="47"/>
              <w:spacing w:after="0"/>
              <w:rPr>
                <w:sz w:val="20"/>
                <w:szCs w:val="20"/>
                <w:color w:val="auto"/>
              </w:rPr>
            </w:pPr>
            <w:r>
              <w:rPr>
                <w:rFonts w:ascii="Times New Roman" w:cs="Times New Roman" w:eastAsia="Times New Roman" w:hAnsi="Times New Roman"/>
                <w:sz w:val="11"/>
                <w:szCs w:val="11"/>
                <w:color w:val="008000"/>
                <w:w w:val="77"/>
              </w:rPr>
              <w:t>(6)</w:t>
            </w:r>
          </w:p>
        </w:tc>
        <w:tc>
          <w:tcPr>
            <w:tcW w:w="3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14,557</w:t>
            </w:r>
          </w:p>
        </w:tc>
        <w:tc>
          <w:tcPr>
            <w:tcW w:w="4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14,557</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7"/>
                <w:szCs w:val="7"/>
                <w:color w:val="0000FF"/>
              </w:rPr>
              <w:t>Class B</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tcPr>
          <w:p>
            <w:pPr>
              <w:ind w:left="120"/>
              <w:spacing w:after="0" w:line="64" w:lineRule="exact"/>
              <w:rPr>
                <w:sz w:val="20"/>
                <w:szCs w:val="20"/>
                <w:color w:val="auto"/>
              </w:rPr>
            </w:pPr>
            <w:r>
              <w:rPr>
                <w:rFonts w:ascii="Times New Roman" w:cs="Times New Roman" w:eastAsia="Times New Roman" w:hAnsi="Times New Roman"/>
                <w:sz w:val="7"/>
                <w:szCs w:val="7"/>
                <w:color w:val="0000FF"/>
              </w:rPr>
              <w:t>Class A</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Borders>
              <w:right w:val="single" w:sz="8" w:color="2C2C2C"/>
            </w:tcBorders>
            <w:gridSpan w:val="3"/>
          </w:tcPr>
          <w:p>
            <w:pPr>
              <w:ind w:left="60"/>
              <w:spacing w:after="0" w:line="64"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-1754505</wp:posOffset>
            </wp:positionV>
            <wp:extent cx="29210" cy="1759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95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60"/>
        <w:spacing w:after="0" w:line="26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4, 2026, pursuant to the Agreement and Plan of Merger, dated as of March 20, 2026 (as amended, the "Merger Agreement"), by and among Dillard's, Inc. (the "Issuer"), W.D. Company, Inc., an Arkansas corporation ("WDC"), and Alex Dillard, solely in his capacity as the shareholder representative, WDC was merged with and into the Issuer (the "Merger"), with the Issuer surviving the Merger. The amount reported represents shares of Issuer Class A Common Stock acquired by a trust for the benefit of the reporting person upon consummation of the Merger, in such trust's capacity as a shareholder of WDC.</w:t>
      </w:r>
    </w:p>
    <w:p>
      <w:pPr>
        <w:spacing w:after="0" w:line="9" w:lineRule="exact"/>
        <w:rPr>
          <w:rFonts w:ascii="Times New Roman" w:cs="Times New Roman" w:eastAsia="Times New Roman" w:hAnsi="Times New Roman"/>
          <w:sz w:val="12"/>
          <w:szCs w:val="12"/>
          <w:color w:val="008000"/>
        </w:rPr>
      </w:pPr>
    </w:p>
    <w:p>
      <w:pPr>
        <w:ind w:left="40" w:right="2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WDC common stock issued and outstanding immediately prior to the effective time of the Merger was automatically cancelled, and in exchange therefor, each WDC shareholder received such WDC shareholder's pro rata share of (a) up 41,496 shares of Issuer Class A Common Stock and up to 3,985,776 shares of Issuer Class B Common Stock and (b) the amount in cash equal to the sum of (i) WDC's cash and cash equivalents as of the closing date of the Merger, plus (ii) the value of other publicly traded securities owned by WDC (determined as described in the Merger Agreement).</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A Common Stock held by a trust for the benefit of the reporting person,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A Common Stock held by trusts for the benefit of the reporting person's children.</w:t>
      </w:r>
    </w:p>
    <w:p>
      <w:pPr>
        <w:spacing w:after="0" w:line="41" w:lineRule="exact"/>
        <w:rPr>
          <w:rFonts w:ascii="Times New Roman" w:cs="Times New Roman" w:eastAsia="Times New Roman" w:hAnsi="Times New Roman"/>
          <w:sz w:val="13"/>
          <w:szCs w:val="13"/>
          <w:color w:val="008000"/>
        </w:rPr>
      </w:pPr>
    </w:p>
    <w:p>
      <w:pPr>
        <w:ind w:left="40" w:right="2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Issuer Class B Common Stock are convertible at the option of any holder thereof into shares of Issuer Class A Common Stock on a one-for-one basis. Issuer Class B Common Stock has no expiration date.</w:t>
      </w:r>
    </w:p>
    <w:p>
      <w:pPr>
        <w:spacing w:after="0" w:line="19" w:lineRule="exact"/>
        <w:rPr>
          <w:rFonts w:ascii="Times New Roman" w:cs="Times New Roman" w:eastAsia="Times New Roman" w:hAnsi="Times New Roman"/>
          <w:sz w:val="13"/>
          <w:szCs w:val="13"/>
          <w:color w:val="008000"/>
        </w:rPr>
      </w:pPr>
    </w:p>
    <w:p>
      <w:pPr>
        <w:ind w:left="40" w:right="2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B Common Stock acquired by a trust for the benefit of the reporting person upon consummation of the Merger, in such trust's capacity as a shareholder of WDC.</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B Common Stock held by a trust for the benefit of the reporting person, for which the reporting person serves as trustee.</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Denise Alexandra Lucie By: </w:t>
      </w:r>
      <w:r>
        <w:rPr>
          <w:rFonts w:ascii="Times New Roman" w:cs="Times New Roman" w:eastAsia="Times New Roman" w:hAnsi="Times New Roman"/>
          <w:sz w:val="33"/>
          <w:szCs w:val="33"/>
          <w:color w:val="0000FF"/>
          <w:vertAlign w:val="subscript"/>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Julie Guymon,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3544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8000" TargetMode="External"/><Relationship Id="rId14" Type="http://schemas.openxmlformats.org/officeDocument/2006/relationships/hyperlink" Target="http://www.sec.gov/cgi-bin/browse-edgar?action=getcompany&amp;CIK=00000289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2026-06-05T05:35:04Z</dcterms:created>
  <dcterms:modified xsi:type="dcterms:W3CDTF">2026-06-05T05:35:04Z</dcterms:modified>
</cp:coreProperties>
</file>