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4062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4062095"/>
                    </a:xfrm>
                    <a:prstGeom prst="rect">
                      <a:avLst/>
                    </a:prstGeom>
                    <a:noFill/>
                  </pic:spPr>
                </pic:pic>
              </a:graphicData>
            </a:graphic>
          </wp:anchor>
        </w:drawing>
      </w:r>
    </w:p>
    <w:p>
      <w:pPr>
        <w:spacing w:after="0" w:line="1075" w:lineRule="exact"/>
        <w:rPr>
          <w:sz w:val="24"/>
          <w:szCs w:val="24"/>
          <w:color w:val="auto"/>
        </w:rPr>
      </w:pPr>
    </w:p>
    <w:p>
      <w:pPr>
        <w:sectPr>
          <w:pgSz w:w="11900" w:h="16838" w:orient="portrait"/>
          <w:cols w:equalWidth="0" w:num="2">
            <w:col w:w="2300" w:space="40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W.D. Company, Inc.</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1600 CANTRELL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DILLARD'S,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DDS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ind w:left="-1" w:right="740" w:firstLine="1"/>
        <w:spacing w:after="0" w:line="268"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5" w:lineRule="exact"/>
        <w:rPr>
          <w:sz w:val="24"/>
          <w:szCs w:val="24"/>
          <w:color w:val="auto"/>
        </w:rPr>
      </w:pPr>
    </w:p>
    <w:p>
      <w:pPr>
        <w:ind w:left="779"/>
        <w:spacing w:after="0"/>
        <w:rPr>
          <w:sz w:val="20"/>
          <w:szCs w:val="20"/>
          <w:color w:val="auto"/>
        </w:rPr>
      </w:pPr>
      <w:r>
        <w:rPr>
          <w:rFonts w:ascii="Times New Roman" w:cs="Times New Roman" w:eastAsia="Times New Roman" w:hAnsi="Times New Roman"/>
          <w:sz w:val="16"/>
          <w:szCs w:val="16"/>
          <w:color w:val="0000FF"/>
        </w:rPr>
        <w:t>FORMER 10% OWNER</w:t>
      </w:r>
    </w:p>
    <w:p>
      <w:pPr>
        <w:spacing w:after="0" w:line="323" w:lineRule="exact"/>
        <w:rPr>
          <w:sz w:val="24"/>
          <w:szCs w:val="24"/>
          <w:color w:val="auto"/>
        </w:rPr>
      </w:pPr>
    </w:p>
    <w:p>
      <w:pPr>
        <w:sectPr>
          <w:pgSz w:w="11900" w:h="16838" w:orient="portrait"/>
          <w:cols w:equalWidth="0" w:num="3">
            <w:col w:w="3180" w:space="720"/>
            <w:col w:w="3121" w:space="720"/>
            <w:col w:w="3339"/>
          </w:cols>
          <w:pgMar w:left="460" w:top="213" w:right="359" w:bottom="1440" w:gutter="0" w:footer="0" w:header="0"/>
          <w:type w:val="continuous"/>
        </w:sectPr>
      </w:pP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tcBorders>
              <w:top w:val="single" w:sz="8" w:color="2C2C2C"/>
            </w:tcBorders>
            <w:gridSpan w:val="6"/>
            <w:vMerge w:val="restart"/>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Borders>
              <w:top w:val="single" w:sz="8" w:color="2C2C2C"/>
            </w:tcBorders>
          </w:tcPr>
          <w:p>
            <w:pPr>
              <w:spacing w:after="0"/>
              <w:rPr>
                <w:sz w:val="15"/>
                <w:szCs w:val="15"/>
                <w:color w:val="auto"/>
              </w:rPr>
            </w:pPr>
          </w:p>
        </w:tc>
        <w:tc>
          <w:tcPr>
            <w:tcW w:w="3580" w:type="dxa"/>
            <w:vAlign w:val="bottom"/>
            <w:tcBorders>
              <w:top w:val="single" w:sz="8" w:color="2C2C2C"/>
            </w:tcBorders>
            <w:gridSpan w:val="7"/>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LITTLE ROCK   AR</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72201</w:t>
            </w: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gridSpan w:val="6"/>
            <w:vMerge w:val="continue"/>
          </w:tcPr>
          <w:p>
            <w:pPr>
              <w:spacing w:after="0"/>
              <w:rPr>
                <w:sz w:val="3"/>
                <w:szCs w:val="3"/>
                <w:color w:val="auto"/>
              </w:rPr>
            </w:pPr>
          </w:p>
        </w:tc>
        <w:tc>
          <w:tcPr>
            <w:tcW w:w="320" w:type="dxa"/>
            <w:vAlign w:val="bottom"/>
          </w:tcPr>
          <w:p>
            <w:pPr>
              <w:spacing w:after="0"/>
              <w:rPr>
                <w:sz w:val="3"/>
                <w:szCs w:val="3"/>
                <w:color w:val="auto"/>
              </w:rPr>
            </w:pPr>
          </w:p>
        </w:tc>
        <w:tc>
          <w:tcPr>
            <w:tcW w:w="3580" w:type="dxa"/>
            <w:vAlign w:val="bottom"/>
            <w:gridSpan w:val="7"/>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vMerge w:val="restart"/>
          </w:tcPr>
          <w:p>
            <w:pPr>
              <w:ind w:left="660"/>
              <w:spacing w:after="0"/>
              <w:rPr>
                <w:sz w:val="20"/>
                <w:szCs w:val="20"/>
                <w:color w:val="auto"/>
              </w:rPr>
            </w:pPr>
            <w:r>
              <w:rPr>
                <w:rFonts w:ascii="Arial" w:cs="Arial" w:eastAsia="Arial" w:hAnsi="Arial"/>
                <w:sz w:val="12"/>
                <w:szCs w:val="12"/>
                <w:color w:val="auto"/>
              </w:rPr>
              <w:t>(State)</w:t>
            </w:r>
          </w:p>
        </w:tc>
        <w:tc>
          <w:tcPr>
            <w:tcW w:w="10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4"/>
          </w:tcPr>
          <w:p>
            <w:pPr>
              <w:jc w:val="center"/>
              <w:ind w:right="16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5"/>
          </w:tcPr>
          <w:p>
            <w:pPr>
              <w:ind w:left="9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5"/>
          </w:tcPr>
          <w:p>
            <w:pPr>
              <w:ind w:left="9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5"/>
          </w:tcPr>
          <w:p>
            <w:pPr>
              <w:ind w:left="9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20" w:type="dxa"/>
            <w:vAlign w:val="bottom"/>
          </w:tcPr>
          <w:p>
            <w:pPr>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Class A</w:t>
            </w:r>
          </w:p>
        </w:tc>
        <w:tc>
          <w:tcPr>
            <w:tcW w:w="10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ind w:right="38"/>
              <w:spacing w:after="0"/>
              <w:rPr>
                <w:sz w:val="20"/>
                <w:szCs w:val="20"/>
                <w:color w:val="auto"/>
              </w:rPr>
            </w:pPr>
            <w:r>
              <w:rPr>
                <w:rFonts w:ascii="Times New Roman" w:cs="Times New Roman" w:eastAsia="Times New Roman" w:hAnsi="Times New Roman"/>
                <w:sz w:val="16"/>
                <w:szCs w:val="16"/>
                <w:color w:val="0000FF"/>
              </w:rPr>
              <w:t>06/04/2026</w:t>
            </w:r>
          </w:p>
        </w:tc>
        <w:tc>
          <w:tcPr>
            <w:tcW w:w="10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D</w:t>
            </w:r>
          </w:p>
        </w:tc>
        <w:tc>
          <w:tcPr>
            <w:tcW w:w="9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6"/>
                <w:szCs w:val="16"/>
                <w:color w:val="0000FF"/>
              </w:rPr>
              <w:t>41,496</w:t>
            </w:r>
            <w:r>
              <w:rPr>
                <w:rFonts w:ascii="Times New Roman" w:cs="Times New Roman" w:eastAsia="Times New Roman" w:hAnsi="Times New Roman"/>
                <w:sz w:val="20"/>
                <w:szCs w:val="20"/>
                <w:color w:val="008000"/>
                <w:vertAlign w:val="superscript"/>
              </w:rPr>
              <w:t>(1)</w:t>
            </w:r>
          </w:p>
        </w:tc>
        <w:tc>
          <w:tcPr>
            <w:tcW w:w="3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4"/>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3"/>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2"/>
                <w:szCs w:val="12"/>
                <w:color w:val="0000FF"/>
              </w:rPr>
              <w:t>06/04/2026</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104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3,985,776</w:t>
            </w:r>
            <w:r>
              <w:rPr>
                <w:rFonts w:ascii="Times New Roman" w:cs="Times New Roman" w:eastAsia="Times New Roman" w:hAnsi="Times New Roman"/>
                <w:sz w:val="20"/>
                <w:szCs w:val="20"/>
                <w:color w:val="008000"/>
                <w:vertAlign w:val="superscript"/>
              </w:rPr>
              <w:t>(4)</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3,985,776</w:t>
            </w:r>
          </w:p>
        </w:tc>
        <w:tc>
          <w:tcPr>
            <w:tcW w:w="20" w:type="dxa"/>
            <w:vAlign w:val="bottom"/>
          </w:tcPr>
          <w:p>
            <w:pPr>
              <w:spacing w:after="0"/>
              <w:rPr>
                <w:sz w:val="20"/>
                <w:szCs w:val="20"/>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20"/>
                <w:szCs w:val="20"/>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gridSpan w:val="2"/>
          </w:tcPr>
          <w:p>
            <w:pPr>
              <w:ind w:left="100"/>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-1449070</wp:posOffset>
            </wp:positionV>
            <wp:extent cx="28575" cy="1454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45478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jc w:val="both"/>
        <w:ind w:left="40" w:right="440" w:hanging="4"/>
        <w:spacing w:after="0" w:line="25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4, 2026, pursuant to the Agreement and Plan of Merger, dated as of March 20, 2026 (as amended, the "Merger Agreement"), by and among Dillard's, Inc. (the "Issuer"), W.D. Company, Inc., an Arkansas corporation ("WDC"), and Alex Dillard, solely in his capacity as the shareholder representative, WDC was merged with and into the Issuer (the "Merger"), with the Issuer surviving the Merger. The amount reported represents shares of Issuer Class A Common Stock disposed of by WDC upon consummation of the Merger.</w:t>
      </w:r>
    </w:p>
    <w:p>
      <w:pPr>
        <w:spacing w:after="0" w:line="17" w:lineRule="exact"/>
        <w:rPr>
          <w:rFonts w:ascii="Times New Roman" w:cs="Times New Roman" w:eastAsia="Times New Roman" w:hAnsi="Times New Roman"/>
          <w:sz w:val="12"/>
          <w:szCs w:val="12"/>
          <w:color w:val="008000"/>
        </w:rPr>
      </w:pPr>
    </w:p>
    <w:p>
      <w:pPr>
        <w:ind w:left="40" w:right="360" w:hanging="4"/>
        <w:spacing w:after="0" w:line="25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WDC common stock issued and outstanding immediately prior to the effective time of the Merger was automatically cancelled, and in exchange therefor, each WDC shareholder received such WDC shareholder's pro rata share of (a) up to 41,496 shares of Issuer Class A Common Stock and up to 3,985,776 shares of Issuer Class B Common Stock and (b) the amount in cash equal to the sum of (i) WDC's cash and cash equivalents as of the closing date of the Merger, plus (ii) the value of other publicly traded securities owned by WDC (determined as described in the Merger Agreement).</w:t>
      </w:r>
    </w:p>
    <w:p>
      <w:pPr>
        <w:spacing w:after="0" w:line="1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Issuer Class B Common Stock are convertible at the option of any holder thereof into shares of Issuer Class A Common Stock on a one-for-one basis. Issuer Class B Common Stock has no expiration date.</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amount reported represents shares of Issuer Class B Common Stock disposed of by WDC upon consummation of the Merger.</w:t>
      </w:r>
    </w:p>
    <w:p>
      <w:pPr>
        <w:spacing w:after="0" w:line="6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Phillip R. Watts</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06/05/2026</w:t>
            </w:r>
          </w:p>
        </w:tc>
      </w:tr>
      <w:tr>
        <w:trPr>
          <w:trHeight w:val="20"/>
        </w:trPr>
        <w:tc>
          <w:tcPr>
            <w:tcW w:w="12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8"/>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4268" TargetMode="External"/><Relationship Id="rId14" Type="http://schemas.openxmlformats.org/officeDocument/2006/relationships/hyperlink" Target="http://www.sec.gov/cgi-bin/browse-edgar?action=getcompany&amp;CIK=00000289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2026-06-05T05:17:03Z</dcterms:created>
  <dcterms:modified xsi:type="dcterms:W3CDTF">2026-06-05T05:17:03Z</dcterms:modified>
</cp:coreProperties>
</file>