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4"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1" w:lineRule="exact"/>
        <w:rPr>
          <w:sz w:val="24"/>
          <w:szCs w:val="24"/>
          <w:color w:val="auto"/>
        </w:rPr>
      </w:pPr>
    </w:p>
    <w:p>
      <w:pPr>
        <w:ind w:left="320" w:right="20"/>
        <w:spacing w:after="0" w:line="277"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-184150</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4" w:lineRule="exact"/>
        <w:rPr>
          <w:sz w:val="24"/>
          <w:szCs w:val="24"/>
          <w:color w:val="auto"/>
        </w:rPr>
      </w:pPr>
    </w:p>
    <w:p>
      <w:pPr>
        <w:ind w:left="320"/>
        <w:spacing w:after="0" w:line="23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-537845</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608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38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382"/>
              <w:spacing w:after="0" w:line="172"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vMerge w:val="restart"/>
          </w:tcPr>
          <w:p>
            <w:pPr>
              <w:jc w:val="center"/>
              <w:ind w:right="38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5135880</wp:posOffset>
            </wp:positionH>
            <wp:positionV relativeFrom="paragraph">
              <wp:posOffset>-582295</wp:posOffset>
            </wp:positionV>
            <wp:extent cx="55880"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5630"/>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-582295</wp:posOffset>
            </wp:positionV>
            <wp:extent cx="55880" cy="595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563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-1779905</wp:posOffset>
            </wp:positionH>
            <wp:positionV relativeFrom="paragraph">
              <wp:posOffset>614045</wp:posOffset>
            </wp:positionV>
            <wp:extent cx="7002780" cy="4951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780" cy="4951095"/>
                    </a:xfrm>
                    <a:prstGeom prst="rect">
                      <a:avLst/>
                    </a:prstGeom>
                    <a:noFill/>
                  </pic:spPr>
                </pic:pic>
              </a:graphicData>
            </a:graphic>
          </wp:anchor>
        </w:drawing>
      </w:r>
    </w:p>
    <w:p>
      <w:pPr>
        <w:spacing w:after="0" w:line="984" w:lineRule="exact"/>
        <w:rPr>
          <w:sz w:val="24"/>
          <w:szCs w:val="24"/>
          <w:color w:val="auto"/>
        </w:rPr>
      </w:pPr>
    </w:p>
    <w:p>
      <w:pPr>
        <w:sectPr>
          <w:pgSz w:w="11900" w:h="16838" w:orient="portrait"/>
          <w:cols w:equalWidth="0" w:num="2">
            <w:col w:w="2300" w:space="480"/>
            <w:col w:w="8300"/>
          </w:cols>
          <w:pgMar w:left="460" w:top="210" w:right="359" w:bottom="1440" w:gutter="0" w:footer="0" w:header="0"/>
        </w:sectPr>
      </w:pPr>
    </w:p>
    <w:tbl>
      <w:tblPr>
        <w:tblLayout w:type="fixed"/>
        <w:tblInd w:w="0" w:type="dxa"/>
        <w:tblCellMar>
          <w:top w:w="0" w:type="dxa"/>
          <w:left w:w="0" w:type="dxa"/>
          <w:bottom w:w="0" w:type="dxa"/>
          <w:right w:w="0" w:type="dxa"/>
        </w:tblCellMar>
      </w:tblPr>
      <w:tr>
        <w:trPr>
          <w:trHeight w:val="218"/>
        </w:trPr>
        <w:tc>
          <w:tcPr>
            <w:tcW w:w="240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gridSpan w:val="8"/>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300" w:type="dxa"/>
            <w:vAlign w:val="bottom"/>
            <w:gridSpan w:val="4"/>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DILLARD WILLIAM T II</w:t>
              </w:r>
            </w:hyperlink>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80" w:type="dxa"/>
            <w:vAlign w:val="bottom"/>
            <w:gridSpan w:val="7"/>
          </w:tcPr>
          <w:p>
            <w:pPr>
              <w:spacing w:after="0" w:line="96"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DILLARD'S,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DDS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bottom w:val="single" w:sz="8" w:color="0000EE"/>
            </w:tcBorders>
          </w:tcPr>
          <w:p>
            <w:pPr>
              <w:spacing w:after="0"/>
              <w:rPr>
                <w:sz w:val="5"/>
                <w:szCs w:val="5"/>
                <w:color w:val="auto"/>
              </w:rPr>
            </w:pPr>
          </w:p>
        </w:tc>
        <w:tc>
          <w:tcPr>
            <w:tcW w:w="220" w:type="dxa"/>
            <w:vAlign w:val="bottom"/>
            <w:tcBorders>
              <w:bottom w:val="single" w:sz="8" w:color="0000EE"/>
            </w:tcBorders>
          </w:tcPr>
          <w:p>
            <w:pPr>
              <w:spacing w:after="0"/>
              <w:rPr>
                <w:sz w:val="5"/>
                <w:szCs w:val="5"/>
                <w:color w:val="auto"/>
              </w:rPr>
            </w:pPr>
          </w:p>
        </w:tc>
        <w:tc>
          <w:tcPr>
            <w:tcW w:w="92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auto"/>
              </w:rPr>
              <w:t>Director</w:t>
            </w: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5"/>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7"/>
                <w:szCs w:val="7"/>
                <w:color w:val="auto"/>
              </w:rPr>
            </w:pPr>
          </w:p>
        </w:tc>
        <w:tc>
          <w:tcPr>
            <w:tcW w:w="1440" w:type="dxa"/>
            <w:vAlign w:val="bottom"/>
            <w:gridSpan w:val="5"/>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
                <w:szCs w:val="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2"/>
                <w:szCs w:val="12"/>
                <w:color w:val="auto"/>
              </w:rPr>
              <w:t>(First)</w:t>
            </w:r>
          </w:p>
        </w:tc>
        <w:tc>
          <w:tcPr>
            <w:tcW w:w="980" w:type="dxa"/>
            <w:vAlign w:val="bottom"/>
            <w:vMerge w:val="restart"/>
          </w:tcPr>
          <w:p>
            <w:pPr>
              <w:ind w:left="160"/>
              <w:spacing w:after="0"/>
              <w:rPr>
                <w:sz w:val="20"/>
                <w:szCs w:val="20"/>
                <w:color w:val="auto"/>
              </w:rPr>
            </w:pPr>
            <w:r>
              <w:rPr>
                <w:rFonts w:ascii="Arial" w:cs="Arial" w:eastAsia="Arial" w:hAnsi="Arial"/>
                <w:sz w:val="12"/>
                <w:szCs w:val="12"/>
                <w:color w:val="auto"/>
              </w:rPr>
              <w:t>(Middle)</w:t>
            </w: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auto"/>
              </w:rPr>
              <w:t>below)</w:t>
            </w: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color w:val="auto"/>
              </w:rPr>
              <w:t>below)</w:t>
            </w: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8"/>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CEO, CHAIRMAN OF BOARD</w:t>
            </w: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1600 CANTRELL RD</w:t>
            </w:r>
          </w:p>
        </w:tc>
        <w:tc>
          <w:tcPr>
            <w:tcW w:w="980" w:type="dxa"/>
            <w:vAlign w:val="bottom"/>
          </w:tcPr>
          <w:p>
            <w:pPr>
              <w:spacing w:after="0"/>
              <w:rPr>
                <w:sz w:val="20"/>
                <w:szCs w:val="20"/>
                <w:color w:val="auto"/>
              </w:rPr>
            </w:pPr>
          </w:p>
        </w:tc>
        <w:tc>
          <w:tcPr>
            <w:tcW w:w="1940" w:type="dxa"/>
            <w:vAlign w:val="bottom"/>
            <w:gridSpan w:val="6"/>
          </w:tcPr>
          <w:p>
            <w:pPr>
              <w:ind w:left="520"/>
              <w:spacing w:after="0"/>
              <w:rPr>
                <w:sz w:val="20"/>
                <w:szCs w:val="20"/>
                <w:color w:val="auto"/>
              </w:rPr>
            </w:pPr>
            <w:r>
              <w:rPr>
                <w:rFonts w:ascii="Times New Roman" w:cs="Times New Roman" w:eastAsia="Times New Roman" w:hAnsi="Times New Roman"/>
                <w:sz w:val="16"/>
                <w:szCs w:val="16"/>
                <w:color w:val="0000FF"/>
              </w:rPr>
              <w:t>06/04/2026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0" w:type="dxa"/>
            <w:vAlign w:val="bottom"/>
            <w:gridSpan w:val="5"/>
            <w:vMerge w:val="continue"/>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4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40" w:type="dxa"/>
            <w:vAlign w:val="bottom"/>
            <w:gridSpan w:val="8"/>
            <w:vMerge w:val="restart"/>
          </w:tcPr>
          <w:p>
            <w:pPr>
              <w:spacing w:after="0"/>
              <w:rPr>
                <w:sz w:val="20"/>
                <w:szCs w:val="20"/>
                <w:color w:val="auto"/>
              </w:rPr>
            </w:pPr>
            <w:r>
              <w:rPr>
                <w:rFonts w:ascii="Arial" w:cs="Arial" w:eastAsia="Arial" w:hAnsi="Arial"/>
                <w:sz w:val="12"/>
                <w:szCs w:val="12"/>
                <w:color w:val="auto"/>
                <w:w w:val="98"/>
              </w:rPr>
              <w:t>4. If Amendment, Date of Original Filed (Month/Day/Year)</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LITTLE ROCK</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AR</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72201</w:t>
            </w: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40" w:type="dxa"/>
            <w:vAlign w:val="bottom"/>
            <w:gridSpan w:val="8"/>
            <w:vMerge w:val="continue"/>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2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gridSpan w:val="4"/>
            <w:vMerge w:val="restart"/>
          </w:tcPr>
          <w:p>
            <w:pPr>
              <w:ind w:left="60"/>
              <w:spacing w:after="0"/>
              <w:rPr>
                <w:sz w:val="20"/>
                <w:szCs w:val="20"/>
                <w:color w:val="auto"/>
              </w:rPr>
            </w:pPr>
            <w:r>
              <w:rPr>
                <w:rFonts w:ascii="Arial" w:cs="Arial" w:eastAsia="Arial" w:hAnsi="Arial"/>
                <w:sz w:val="12"/>
                <w:szCs w:val="12"/>
                <w:color w:val="auto"/>
              </w:rPr>
              <w:t>Form filed by One Reporting Person</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2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2880" w:type="dxa"/>
            <w:vAlign w:val="bottom"/>
            <w:gridSpan w:val="8"/>
            <w:vMerge w:val="restart"/>
          </w:tcPr>
          <w:p>
            <w:pPr>
              <w:ind w:left="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8"/>
                <w:szCs w:val="8"/>
                <w:color w:val="auto"/>
              </w:rPr>
            </w:pPr>
          </w:p>
        </w:tc>
        <w:tc>
          <w:tcPr>
            <w:tcW w:w="1080" w:type="dxa"/>
            <w:vAlign w:val="bottom"/>
            <w:gridSpan w:val="2"/>
            <w:vMerge w:val="restart"/>
          </w:tcPr>
          <w:p>
            <w:pPr>
              <w:spacing w:after="0"/>
              <w:rPr>
                <w:sz w:val="20"/>
                <w:szCs w:val="20"/>
                <w:color w:val="auto"/>
              </w:rPr>
            </w:pPr>
            <w:r>
              <w:rPr>
                <w:rFonts w:ascii="Arial" w:cs="Arial" w:eastAsia="Arial" w:hAnsi="Arial"/>
                <w:sz w:val="12"/>
                <w:szCs w:val="12"/>
                <w:color w:val="auto"/>
              </w:rPr>
              <w:t>(State)</w:t>
            </w:r>
          </w:p>
        </w:tc>
        <w:tc>
          <w:tcPr>
            <w:tcW w:w="980" w:type="dxa"/>
            <w:vAlign w:val="bottom"/>
            <w:vMerge w:val="restart"/>
          </w:tcPr>
          <w:p>
            <w:pPr>
              <w:ind w:left="16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28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gridSpan w:val="4"/>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260" w:type="dxa"/>
            <w:vAlign w:val="bottom"/>
            <w:tcBorders>
              <w:bottom w:val="single" w:sz="8" w:color="2C2C2C"/>
            </w:tcBorders>
            <w:gridSpan w:val="5"/>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gridSpan w:val="2"/>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0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6500" w:type="dxa"/>
            <w:vAlign w:val="bottom"/>
            <w:tcBorders>
              <w:top w:val="single" w:sz="8" w:color="2C2C2C"/>
            </w:tcBorders>
            <w:gridSpan w:val="18"/>
          </w:tcPr>
          <w:p>
            <w:pPr>
              <w:ind w:left="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3"/>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w w:val="96"/>
              </w:rPr>
              <w:t>2. Transaction</w:t>
            </w:r>
          </w:p>
        </w:tc>
        <w:tc>
          <w:tcPr>
            <w:tcW w:w="220" w:type="dxa"/>
            <w:vAlign w:val="bottom"/>
          </w:tcPr>
          <w:p>
            <w:pPr>
              <w:spacing w:after="0"/>
              <w:rPr>
                <w:sz w:val="13"/>
                <w:szCs w:val="13"/>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40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2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2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76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40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gridSpan w:val="5"/>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4"/>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ind w:left="20"/>
              <w:spacing w:after="0" w:line="120" w:lineRule="exact"/>
              <w:rPr>
                <w:sz w:val="20"/>
                <w:szCs w:val="20"/>
                <w:color w:val="auto"/>
              </w:rPr>
            </w:pPr>
            <w:r>
              <w:rPr>
                <w:rFonts w:ascii="Arial" w:cs="Arial" w:eastAsia="Arial" w:hAnsi="Arial"/>
                <w:sz w:val="11"/>
                <w:szCs w:val="11"/>
                <w:b w:val="1"/>
                <w:bCs w:val="1"/>
                <w:color w:val="auto"/>
                <w:w w:val="94"/>
              </w:rPr>
              <w:t>Transaction(s)</w:t>
            </w: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gridSpan w:val="4"/>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76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w w:val="95"/>
              </w:rPr>
              <w:t>(Instr. 3 and 4)</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Class A</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gridSpan w:val="5"/>
            <w:vMerge w:val="restart"/>
          </w:tcPr>
          <w:p>
            <w:pPr>
              <w:ind w:left="160"/>
              <w:spacing w:after="0"/>
              <w:rPr>
                <w:sz w:val="20"/>
                <w:szCs w:val="20"/>
                <w:color w:val="auto"/>
              </w:rPr>
            </w:pPr>
            <w:r>
              <w:rPr>
                <w:rFonts w:ascii="Times New Roman" w:cs="Times New Roman" w:eastAsia="Times New Roman" w:hAnsi="Times New Roman"/>
                <w:sz w:val="16"/>
                <w:szCs w:val="16"/>
                <w:color w:val="0000FF"/>
              </w:rPr>
              <w:t>06/04/2026</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D</w:t>
            </w:r>
          </w:p>
        </w:tc>
        <w:tc>
          <w:tcPr>
            <w:tcW w:w="76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color w:val="0000FF"/>
              </w:rPr>
              <w:t>41,496</w:t>
            </w:r>
            <w:r>
              <w:rPr>
                <w:rFonts w:ascii="Times New Roman" w:cs="Times New Roman" w:eastAsia="Times New Roman" w:hAnsi="Times New Roman"/>
                <w:sz w:val="19"/>
                <w:szCs w:val="19"/>
                <w:color w:val="008000"/>
                <w:vertAlign w:val="superscript"/>
              </w:rPr>
              <w:t>(1)</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40" w:type="dxa"/>
            <w:vAlign w:val="bottom"/>
          </w:tcPr>
          <w:p>
            <w:pPr>
              <w:spacing w:after="0"/>
              <w:rPr>
                <w:sz w:val="19"/>
                <w:szCs w:val="19"/>
                <w:color w:val="auto"/>
              </w:rPr>
            </w:pPr>
          </w:p>
        </w:tc>
        <w:tc>
          <w:tcPr>
            <w:tcW w:w="760" w:type="dxa"/>
            <w:vAlign w:val="bottom"/>
            <w:gridSpan w:val="2"/>
            <w:vMerge w:val="restart"/>
          </w:tcPr>
          <w:p>
            <w:pPr>
              <w:jc w:val="center"/>
              <w:ind w:left="259"/>
              <w:spacing w:after="0"/>
              <w:rPr>
                <w:sz w:val="20"/>
                <w:szCs w:val="20"/>
                <w:color w:val="auto"/>
              </w:rPr>
            </w:pPr>
            <w:r>
              <w:rPr>
                <w:rFonts w:ascii="Times New Roman" w:cs="Times New Roman" w:eastAsia="Times New Roman" w:hAnsi="Times New Roman"/>
                <w:sz w:val="16"/>
                <w:szCs w:val="16"/>
                <w:color w:val="0000FF"/>
                <w:w w:val="99"/>
              </w:rPr>
              <w:t>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vMerge w:val="restart"/>
          </w:tcPr>
          <w:p>
            <w:pPr>
              <w:jc w:val="center"/>
              <w:ind w:right="378"/>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57"/>
        </w:trPr>
        <w:tc>
          <w:tcPr>
            <w:tcW w:w="132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gridSpan w:val="5"/>
            <w:vMerge w:val="continue"/>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19"/>
                <w:szCs w:val="19"/>
                <w:color w:val="008000"/>
                <w:vertAlign w:val="superscript"/>
              </w:rPr>
              <w:t>(3)</w:t>
            </w: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132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Class A</w:t>
            </w:r>
          </w:p>
        </w:tc>
        <w:tc>
          <w:tcPr>
            <w:tcW w:w="86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980" w:type="dxa"/>
            <w:vAlign w:val="bottom"/>
            <w:tcBorders>
              <w:top w:val="single" w:sz="8" w:color="2C2C2C"/>
              <w:bottom w:val="single" w:sz="8" w:color="2C2C2C"/>
            </w:tcBorders>
          </w:tcPr>
          <w:p>
            <w:pPr>
              <w:spacing w:after="0"/>
              <w:rPr>
                <w:sz w:val="24"/>
                <w:szCs w:val="24"/>
                <w:color w:val="auto"/>
              </w:rPr>
            </w:pPr>
          </w:p>
        </w:tc>
        <w:tc>
          <w:tcPr>
            <w:tcW w:w="1020" w:type="dxa"/>
            <w:vAlign w:val="bottom"/>
            <w:tcBorders>
              <w:top w:val="single" w:sz="8" w:color="2C2C2C"/>
              <w:bottom w:val="single" w:sz="8" w:color="2C2C2C"/>
            </w:tcBorders>
            <w:gridSpan w:val="5"/>
          </w:tcPr>
          <w:p>
            <w:pPr>
              <w:ind w:left="160"/>
              <w:spacing w:after="0"/>
              <w:rPr>
                <w:sz w:val="20"/>
                <w:szCs w:val="20"/>
                <w:color w:val="auto"/>
              </w:rPr>
            </w:pPr>
            <w:r>
              <w:rPr>
                <w:rFonts w:ascii="Times New Roman" w:cs="Times New Roman" w:eastAsia="Times New Roman" w:hAnsi="Times New Roman"/>
                <w:sz w:val="16"/>
                <w:szCs w:val="16"/>
                <w:color w:val="0000FF"/>
              </w:rPr>
              <w:t>06/04/2026</w:t>
            </w:r>
          </w:p>
        </w:tc>
        <w:tc>
          <w:tcPr>
            <w:tcW w:w="9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ind w:left="120"/>
              <w:spacing w:after="0"/>
              <w:rPr>
                <w:sz w:val="20"/>
                <w:szCs w:val="20"/>
                <w:color w:val="auto"/>
              </w:rPr>
            </w:pPr>
            <w:r>
              <w:rPr>
                <w:rFonts w:ascii="Times New Roman" w:cs="Times New Roman" w:eastAsia="Times New Roman" w:hAnsi="Times New Roman"/>
                <w:sz w:val="12"/>
                <w:szCs w:val="12"/>
                <w:color w:val="0000FF"/>
              </w:rPr>
              <w:t>A</w:t>
            </w:r>
          </w:p>
        </w:tc>
        <w:tc>
          <w:tcPr>
            <w:tcW w:w="760" w:type="dxa"/>
            <w:vAlign w:val="bottom"/>
            <w:tcBorders>
              <w:top w:val="single" w:sz="8" w:color="2C2C2C"/>
              <w:bottom w:val="single" w:sz="8" w:color="2C2C2C"/>
            </w:tcBorders>
          </w:tcPr>
          <w:p>
            <w:pPr>
              <w:jc w:val="center"/>
              <w:ind w:right="62"/>
              <w:spacing w:after="0"/>
              <w:rPr>
                <w:sz w:val="20"/>
                <w:szCs w:val="20"/>
                <w:color w:val="auto"/>
              </w:rPr>
            </w:pPr>
            <w:r>
              <w:rPr>
                <w:rFonts w:ascii="Times New Roman" w:cs="Times New Roman" w:eastAsia="Times New Roman" w:hAnsi="Times New Roman"/>
                <w:sz w:val="16"/>
                <w:szCs w:val="16"/>
                <w:color w:val="0000FF"/>
              </w:rPr>
              <w:t>9,997</w:t>
            </w:r>
            <w:r>
              <w:rPr>
                <w:rFonts w:ascii="Times New Roman" w:cs="Times New Roman" w:eastAsia="Times New Roman" w:hAnsi="Times New Roman"/>
                <w:sz w:val="19"/>
                <w:szCs w:val="19"/>
                <w:color w:val="008000"/>
                <w:vertAlign w:val="superscript"/>
              </w:rPr>
              <w:t>(4)</w:t>
            </w:r>
          </w:p>
        </w:tc>
        <w:tc>
          <w:tcPr>
            <w:tcW w:w="520" w:type="dxa"/>
            <w:vAlign w:val="bottom"/>
            <w:tcBorders>
              <w:top w:val="single" w:sz="8" w:color="2C2C2C"/>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tcBorders>
              <w:top w:val="single" w:sz="8" w:color="2C2C2C"/>
              <w:bottom w:val="single" w:sz="8" w:color="2C2C2C"/>
            </w:tcBorders>
            <w:gridSpan w:val="2"/>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4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3"/>
          </w:tcPr>
          <w:p>
            <w:pPr>
              <w:jc w:val="center"/>
              <w:ind w:right="45"/>
              <w:spacing w:after="0"/>
              <w:rPr>
                <w:sz w:val="20"/>
                <w:szCs w:val="20"/>
                <w:color w:val="auto"/>
              </w:rPr>
            </w:pPr>
            <w:r>
              <w:rPr>
                <w:rFonts w:ascii="Times New Roman" w:cs="Times New Roman" w:eastAsia="Times New Roman" w:hAnsi="Times New Roman"/>
                <w:sz w:val="16"/>
                <w:szCs w:val="16"/>
                <w:color w:val="0000FF"/>
                <w:w w:val="96"/>
              </w:rPr>
              <w:t>907,819</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ind w:right="358"/>
              <w:spacing w:after="0"/>
              <w:rPr>
                <w:sz w:val="20"/>
                <w:szCs w:val="20"/>
                <w:color w:val="auto"/>
              </w:rPr>
            </w:pPr>
            <w:r>
              <w:rPr>
                <w:rFonts w:ascii="Times New Roman" w:cs="Times New Roman" w:eastAsia="Times New Roman" w:hAnsi="Times New Roman"/>
                <w:sz w:val="16"/>
                <w:szCs w:val="16"/>
                <w:color w:val="0000FF"/>
              </w:rPr>
              <w:t>D</w:t>
            </w:r>
          </w:p>
        </w:tc>
        <w:tc>
          <w:tcPr>
            <w:tcW w:w="18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Class A - Retirement Plan</w:t>
            </w: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0000FF"/>
                <w:w w:val="99"/>
              </w:rPr>
              <w:t>60</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center"/>
              <w:ind w:right="358"/>
              <w:spacing w:after="0"/>
              <w:rPr>
                <w:sz w:val="20"/>
                <w:szCs w:val="20"/>
                <w:color w:val="auto"/>
              </w:rPr>
            </w:pPr>
            <w:r>
              <w:rPr>
                <w:rFonts w:ascii="Times New Roman" w:cs="Times New Roman" w:eastAsia="Times New Roman" w:hAnsi="Times New Roman"/>
                <w:sz w:val="16"/>
                <w:szCs w:val="16"/>
                <w:color w:val="0000FF"/>
              </w:rPr>
              <w:t>D</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Class A</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2"/>
            <w:vMerge w:val="restart"/>
          </w:tcPr>
          <w:p>
            <w:pPr>
              <w:jc w:val="center"/>
              <w:ind w:left="239"/>
              <w:spacing w:after="0"/>
              <w:rPr>
                <w:sz w:val="20"/>
                <w:szCs w:val="20"/>
                <w:color w:val="auto"/>
              </w:rPr>
            </w:pPr>
            <w:r>
              <w:rPr>
                <w:rFonts w:ascii="Times New Roman" w:cs="Times New Roman" w:eastAsia="Times New Roman" w:hAnsi="Times New Roman"/>
                <w:sz w:val="16"/>
                <w:szCs w:val="16"/>
                <w:color w:val="0000FF"/>
                <w:w w:val="94"/>
              </w:rPr>
              <w:t>7,300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vMerge w:val="restart"/>
          </w:tcPr>
          <w:p>
            <w:pPr>
              <w:jc w:val="center"/>
              <w:ind w:right="378"/>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07"/>
        </w:trPr>
        <w:tc>
          <w:tcPr>
            <w:tcW w:w="132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19"/>
                <w:szCs w:val="19"/>
                <w:color w:val="008000"/>
                <w:vertAlign w:val="superscript"/>
              </w:rPr>
              <w:t>(5)</w:t>
            </w:r>
          </w:p>
        </w:tc>
        <w:tc>
          <w:tcPr>
            <w:tcW w:w="0" w:type="dxa"/>
            <w:vAlign w:val="bottom"/>
          </w:tcPr>
          <w:p>
            <w:pPr>
              <w:spacing w:after="0"/>
              <w:rPr>
                <w:sz w:val="1"/>
                <w:szCs w:val="1"/>
                <w:color w:val="auto"/>
              </w:rPr>
            </w:pPr>
          </w:p>
        </w:tc>
      </w:tr>
      <w:tr>
        <w:trPr>
          <w:trHeight w:val="189"/>
        </w:trPr>
        <w:tc>
          <w:tcPr>
            <w:tcW w:w="10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00" w:type="dxa"/>
            <w:vAlign w:val="bottom"/>
            <w:gridSpan w:val="18"/>
          </w:tcPr>
          <w:p>
            <w:pPr>
              <w:ind w:left="3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760" w:type="dxa"/>
            <w:vAlign w:val="bottom"/>
            <w:gridSpan w:val="15"/>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5"/>
          </w:tcPr>
          <w:p>
            <w:pPr>
              <w:ind w:left="20"/>
              <w:spacing w:after="0"/>
              <w:rPr>
                <w:sz w:val="20"/>
                <w:szCs w:val="20"/>
                <w:color w:val="auto"/>
              </w:rPr>
            </w:pPr>
            <w:r>
              <w:rPr>
                <w:rFonts w:ascii="Arial" w:cs="Arial" w:eastAsia="Arial" w:hAnsi="Arial"/>
                <w:sz w:val="11"/>
                <w:szCs w:val="11"/>
                <w:b w:val="1"/>
                <w:bCs w:val="1"/>
                <w:color w:val="auto"/>
                <w:w w:val="99"/>
              </w:rPr>
              <w:t>5. Number of Derivative</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68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260" w:type="dxa"/>
            <w:vAlign w:val="bottom"/>
            <w:gridSpan w:val="5"/>
          </w:tcPr>
          <w:p>
            <w:pPr>
              <w:ind w:left="20"/>
              <w:spacing w:after="0" w:line="120" w:lineRule="exact"/>
              <w:rPr>
                <w:sz w:val="20"/>
                <w:szCs w:val="20"/>
                <w:color w:val="auto"/>
              </w:rPr>
            </w:pPr>
            <w:r>
              <w:rPr>
                <w:rFonts w:ascii="Arial" w:cs="Arial" w:eastAsia="Arial" w:hAnsi="Arial"/>
                <w:sz w:val="11"/>
                <w:szCs w:val="11"/>
                <w:b w:val="1"/>
                <w:bCs w:val="1"/>
                <w:color w:val="auto"/>
              </w:rPr>
              <w:t>Securities Acquired (A)</w:t>
            </w:r>
          </w:p>
        </w:tc>
        <w:tc>
          <w:tcPr>
            <w:tcW w:w="150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Expiration Date</w:t>
            </w:r>
          </w:p>
        </w:tc>
        <w:tc>
          <w:tcPr>
            <w:tcW w:w="120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ind w:left="4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1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or Disposed of (D)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(Month/Day/Year)</w:t>
            </w:r>
          </w:p>
        </w:tc>
        <w:tc>
          <w:tcPr>
            <w:tcW w:w="120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680" w:type="dxa"/>
            <w:vAlign w:val="bottom"/>
            <w:tcBorders>
              <w:right w:val="single" w:sz="8" w:color="2C2C2C"/>
            </w:tcBorders>
            <w:gridSpan w:val="3"/>
          </w:tcPr>
          <w:p>
            <w:pPr>
              <w:ind w:left="4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Price of</w:t>
            </w: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7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Direct (D)</w:t>
            </w:r>
          </w:p>
        </w:tc>
        <w:tc>
          <w:tcPr>
            <w:tcW w:w="680" w:type="dxa"/>
            <w:vAlign w:val="bottom"/>
            <w:tcBorders>
              <w:right w:val="single" w:sz="8" w:color="2C2C2C"/>
            </w:tcBorders>
            <w:gridSpan w:val="3"/>
          </w:tcPr>
          <w:p>
            <w:pPr>
              <w:ind w:left="4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line="120"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6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ind w:left="4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ind w:left="80"/>
              <w:spacing w:after="0" w:line="96" w:lineRule="exact"/>
              <w:rPr>
                <w:sz w:val="20"/>
                <w:szCs w:val="20"/>
                <w:color w:val="auto"/>
              </w:rPr>
            </w:pPr>
            <w:r>
              <w:rPr>
                <w:rFonts w:ascii="Arial" w:cs="Arial" w:eastAsia="Arial" w:hAnsi="Arial"/>
                <w:sz w:val="11"/>
                <w:szCs w:val="11"/>
                <w:b w:val="1"/>
                <w:bCs w:val="1"/>
                <w:color w:val="auto"/>
              </w:rPr>
              <w:t>Security</w:t>
            </w: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gridSpan w:val="2"/>
          </w:tcPr>
          <w:p>
            <w:pPr>
              <w:spacing w:after="0" w:line="96"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line="96"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6"/>
              </w:rPr>
              <w:t>Expiration</w:t>
            </w:r>
          </w:p>
        </w:tc>
        <w:tc>
          <w:tcPr>
            <w:tcW w:w="520" w:type="dxa"/>
            <w:vAlign w:val="bottom"/>
          </w:tcPr>
          <w:p>
            <w:pPr>
              <w:spacing w:after="0"/>
              <w:rPr>
                <w:sz w:val="10"/>
                <w:szCs w:val="10"/>
                <w:color w:val="auto"/>
              </w:rPr>
            </w:pPr>
          </w:p>
        </w:tc>
        <w:tc>
          <w:tcPr>
            <w:tcW w:w="68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w w:val="94"/>
              </w:rPr>
              <w:t>Transaction(s)</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920" w:type="dxa"/>
            <w:vAlign w:val="bottom"/>
          </w:tcPr>
          <w:p>
            <w:pPr>
              <w:ind w:left="440"/>
              <w:spacing w:after="0"/>
              <w:rPr>
                <w:sz w:val="20"/>
                <w:szCs w:val="20"/>
                <w:color w:val="auto"/>
              </w:rPr>
            </w:pPr>
            <w:r>
              <w:rPr>
                <w:rFonts w:ascii="Arial" w:cs="Arial" w:eastAsia="Arial" w:hAnsi="Arial"/>
                <w:sz w:val="11"/>
                <w:szCs w:val="11"/>
                <w:b w:val="1"/>
                <w:bCs w:val="1"/>
                <w:color w:val="auto"/>
              </w:rPr>
              <w:t>(D)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06/04/2026</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220" w:type="dxa"/>
            <w:vAlign w:val="bottom"/>
          </w:tcPr>
          <w:p>
            <w:pPr>
              <w:spacing w:after="0"/>
              <w:rPr>
                <w:sz w:val="14"/>
                <w:szCs w:val="1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2"/>
                <w:szCs w:val="12"/>
                <w:color w:val="0000FF"/>
                <w:w w:val="95"/>
              </w:rPr>
              <w:t>3,985,776</w:t>
            </w:r>
          </w:p>
        </w:tc>
        <w:tc>
          <w:tcPr>
            <w:tcW w:w="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9"/>
                <w:szCs w:val="9"/>
                <w:color w:val="008000"/>
                <w:w w:val="75"/>
              </w:rPr>
              <w:t>(7)</w:t>
            </w: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(6)</w:t>
            </w: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0000FF"/>
              </w:rPr>
              <w:t>3,985,776</w:t>
            </w:r>
          </w:p>
        </w:tc>
        <w:tc>
          <w:tcPr>
            <w:tcW w:w="7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14"/>
                <w:szCs w:val="14"/>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180" w:type="dxa"/>
            <w:vAlign w:val="bottom"/>
          </w:tcPr>
          <w:p>
            <w:pPr>
              <w:spacing w:after="0"/>
              <w:rPr>
                <w:sz w:val="14"/>
                <w:szCs w:val="14"/>
                <w:color w:val="auto"/>
              </w:rPr>
            </w:pPr>
          </w:p>
        </w:tc>
        <w:tc>
          <w:tcPr>
            <w:tcW w:w="68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0"/>
        </w:trPr>
        <w:tc>
          <w:tcPr>
            <w:tcW w:w="640" w:type="dxa"/>
            <w:vAlign w:val="bottom"/>
            <w:gridSpan w:val="2"/>
          </w:tcPr>
          <w:p>
            <w:pPr>
              <w:ind w:left="60"/>
              <w:spacing w:after="0" w:line="60" w:lineRule="exact"/>
              <w:rPr>
                <w:sz w:val="20"/>
                <w:szCs w:val="20"/>
                <w:color w:val="auto"/>
              </w:rPr>
            </w:pPr>
            <w:r>
              <w:rPr>
                <w:rFonts w:ascii="Times New Roman" w:cs="Times New Roman" w:eastAsia="Times New Roman" w:hAnsi="Times New Roman"/>
                <w:sz w:val="6"/>
                <w:szCs w:val="6"/>
                <w:color w:val="0000FF"/>
              </w:rPr>
              <w:t>Class B</w:t>
            </w:r>
          </w:p>
        </w:tc>
        <w:tc>
          <w:tcPr>
            <w:tcW w:w="6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20" w:type="dxa"/>
            <w:vAlign w:val="bottom"/>
          </w:tcPr>
          <w:p>
            <w:pPr>
              <w:ind w:left="40"/>
              <w:spacing w:after="0" w:line="60" w:lineRule="exact"/>
              <w:rPr>
                <w:sz w:val="20"/>
                <w:szCs w:val="20"/>
                <w:color w:val="auto"/>
              </w:rPr>
            </w:pPr>
            <w:r>
              <w:rPr>
                <w:rFonts w:ascii="Times New Roman" w:cs="Times New Roman" w:eastAsia="Times New Roman" w:hAnsi="Times New Roman"/>
                <w:sz w:val="6"/>
                <w:szCs w:val="6"/>
                <w:color w:val="0000FF"/>
              </w:rPr>
              <w:t>Class A</w:t>
            </w:r>
          </w:p>
        </w:tc>
        <w:tc>
          <w:tcPr>
            <w:tcW w:w="680" w:type="dxa"/>
            <w:vAlign w:val="bottom"/>
            <w:gridSpan w:val="3"/>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Borders>
              <w:right w:val="single" w:sz="8" w:color="2C2C2C"/>
            </w:tcBorders>
            <w:gridSpan w:val="3"/>
          </w:tcPr>
          <w:p>
            <w:pPr>
              <w:ind w:left="40"/>
              <w:spacing w:after="0" w:line="60"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gridSpan w:val="3"/>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06/04/2026</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960,246</w:t>
            </w:r>
            <w:r>
              <w:rPr>
                <w:rFonts w:ascii="Times New Roman" w:cs="Times New Roman" w:eastAsia="Times New Roman" w:hAnsi="Times New Roman"/>
                <w:sz w:val="19"/>
                <w:szCs w:val="19"/>
                <w:color w:val="008000"/>
                <w:vertAlign w:val="superscript"/>
              </w:rPr>
              <w:t>(8)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(6)</w:t>
            </w: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0000FF"/>
              </w:rPr>
              <w:t>Common</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960,246</w:t>
            </w:r>
          </w:p>
        </w:tc>
        <w:tc>
          <w:tcPr>
            <w:tcW w:w="40" w:type="dxa"/>
            <w:vAlign w:val="bottom"/>
          </w:tcPr>
          <w:p>
            <w:pPr>
              <w:spacing w:after="0"/>
              <w:rPr>
                <w:sz w:val="14"/>
                <w:szCs w:val="14"/>
                <w:color w:val="auto"/>
              </w:rPr>
            </w:pPr>
          </w:p>
        </w:tc>
        <w:tc>
          <w:tcPr>
            <w:tcW w:w="7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40" w:type="dxa"/>
            <w:vAlign w:val="bottom"/>
            <w:gridSpan w:val="2"/>
            <w:vMerge w:val="restart"/>
          </w:tcPr>
          <w:p>
            <w:pPr>
              <w:jc w:val="right"/>
              <w:ind w:right="126"/>
              <w:spacing w:after="0"/>
              <w:rPr>
                <w:sz w:val="20"/>
                <w:szCs w:val="20"/>
                <w:color w:val="auto"/>
              </w:rPr>
            </w:pPr>
            <w:r>
              <w:rPr>
                <w:rFonts w:ascii="Times New Roman" w:cs="Times New Roman" w:eastAsia="Times New Roman" w:hAnsi="Times New Roman"/>
                <w:sz w:val="12"/>
                <w:szCs w:val="12"/>
                <w:color w:val="0000FF"/>
              </w:rPr>
              <w:t>960,246</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Class A</w:t>
            </w: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-1585595</wp:posOffset>
            </wp:positionV>
            <wp:extent cx="27940" cy="1591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159131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40" w:right="220" w:hanging="8"/>
        <w:spacing w:after="0" w:line="243"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4, 2026, pursuant to the Agreement and Plan of Merger, dated as of March 20, 2026 (as amended, the "Merger Agreement"), by and among Dillard's, Inc. (the "Issuer"), W.D. Company, Inc., an Arkansas corporation ("WDC"), and Alex Dillard, solely in his capacity as the shareholder representative, WDC was merged with and into the Issuer (the "Merger"), with the Issuer surviving the Merger. The amount reported represents shares of Issuer Class A Common Stock disposed of by WDC upon consummation of the Merger.</w:t>
      </w:r>
    </w:p>
    <w:p>
      <w:pPr>
        <w:spacing w:after="0" w:line="23" w:lineRule="exact"/>
        <w:rPr>
          <w:rFonts w:ascii="Times New Roman" w:cs="Times New Roman" w:eastAsia="Times New Roman" w:hAnsi="Times New Roman"/>
          <w:sz w:val="12"/>
          <w:szCs w:val="12"/>
          <w:color w:val="008000"/>
        </w:rPr>
      </w:pPr>
    </w:p>
    <w:p>
      <w:pPr>
        <w:ind w:left="40" w:right="460" w:hanging="8"/>
        <w:spacing w:after="0" w:line="243"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WDC common stock issued and outstanding immediately prior to the effective time of the Merger was automatically cancelled, and in exchange therefor, each WDC shareholder received such WDC shareholder's pro rata share of (a) up to 41,496 shares of Issuer Class A Common Stock and up to 3,985,776 shares of Issuer Class B Common Stock and (b) the amount in cash equal to the sum of (i) WDC's cash and cash equivalents as of the closing date of the Merger, plus (ii) the value of other publicly traded securities owned by WDC (determined as described in the Merger Agreement).</w:t>
      </w:r>
    </w:p>
    <w:p>
      <w:pPr>
        <w:spacing w:after="0" w:line="23"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Prior to the Merger, the reporting person owned approximately 27.4% of the outstanding voting stock of WDC and was one of its directors and officers.</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amount reported represents shares of Issuer Class A Common Stock acquired by the reporting person upon consummation of the Merger, in his capacity as a shareholder of WDC.</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amount reported represents shares of Issuer Class A Common Stock held by a trust for which the reporting person serves as trustee.</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Issuer Class B Common Stock are convertible at the option of any holder thereof into shares of Issuer Class A Common Stock on a one-for-one basis. Issuer Class B Common Stock has no expiration date.</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amount reported represents shares of Issuer Class B Common Stock disposed of by WDC upon consummation of the Merger.</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amount reported represents shares of Issuer Class B Common Stock acquired by the reporting person upon consummation of the Merger, in his capacity as a shareholder of WDC.</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William T. Dillard, II By: Julie </w:t>
      </w:r>
      <w:r>
        <w:rPr>
          <w:rFonts w:ascii="Times New Roman" w:cs="Times New Roman" w:eastAsia="Times New Roman" w:hAnsi="Times New Roman"/>
          <w:sz w:val="31"/>
          <w:szCs w:val="31"/>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-24765</wp:posOffset>
            </wp:positionV>
            <wp:extent cx="13385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858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Guymon,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-20320</wp:posOffset>
            </wp:positionV>
            <wp:extent cx="10591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59180" cy="7620"/>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-81280</wp:posOffset>
            </wp:positionV>
            <wp:extent cx="4502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0215" cy="7620"/>
                    </a:xfrm>
                    <a:prstGeom prst="rect">
                      <a:avLst/>
                    </a:prstGeom>
                    <a:noFill/>
                  </pic:spPr>
                </pic:pic>
              </a:graphicData>
            </a:graphic>
          </wp:anchor>
        </w:drawing>
      </w:r>
    </w:p>
    <w:p>
      <w:pPr>
        <w:spacing w:after="0" w:line="1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2" w:lineRule="exact"/>
        <w:rPr>
          <w:sz w:val="20"/>
          <w:szCs w:val="20"/>
          <w:color w:val="auto"/>
        </w:rPr>
      </w:pPr>
    </w:p>
    <w:p>
      <w:pPr>
        <w:jc w:val="both"/>
        <w:ind w:left="40" w:right="4140" w:hanging="8"/>
        <w:spacing w:after="0" w:line="340" w:lineRule="auto"/>
        <w:tabs>
          <w:tab w:leader="none" w:pos="166"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79684" TargetMode="External"/><Relationship Id="rId14" Type="http://schemas.openxmlformats.org/officeDocument/2006/relationships/hyperlink" Target="http://www.sec.gov/cgi-bin/browse-edgar?action=getcompany&amp;CIK=00000289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2026-06-05T05:31:15Z</dcterms:created>
  <dcterms:modified xsi:type="dcterms:W3CDTF">2026-06-05T05:31:15Z</dcterms:modified>
</cp:coreProperties>
</file>