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517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173980"/>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MATHENY DRUE</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1600 CANTRELL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DILLARD'S,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449"/>
        <w:spacing w:after="0"/>
        <w:rPr>
          <w:sz w:val="20"/>
          <w:szCs w:val="20"/>
          <w:color w:val="auto"/>
        </w:rPr>
      </w:pPr>
      <w:r>
        <w:rPr>
          <w:rFonts w:ascii="Times New Roman" w:cs="Times New Roman" w:eastAsia="Times New Roman" w:hAnsi="Times New Roman"/>
          <w:sz w:val="16"/>
          <w:szCs w:val="16"/>
          <w:color w:val="0000FF"/>
        </w:rPr>
        <w:t>EXECUTIVE VICE PRESIDENT</w:t>
      </w:r>
    </w:p>
    <w:p>
      <w:pPr>
        <w:spacing w:after="0" w:line="275" w:lineRule="exact"/>
        <w:rPr>
          <w:sz w:val="24"/>
          <w:szCs w:val="24"/>
          <w:color w:val="auto"/>
        </w:rPr>
      </w:pPr>
    </w:p>
    <w:p>
      <w:pPr>
        <w:sectPr>
          <w:pgSz w:w="11900" w:h="16838" w:orient="portrait"/>
          <w:cols w:equalWidth="0" w:num="3">
            <w:col w:w="3180" w:space="720"/>
            <w:col w:w="3111" w:space="720"/>
            <w:col w:w="3349"/>
          </w:cols>
          <w:pgMar w:left="460" w:top="215"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4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80" w:type="dxa"/>
            <w:vAlign w:val="bottom"/>
            <w:gridSpan w:val="7"/>
            <w:vMerge w:val="restart"/>
          </w:tcPr>
          <w:p>
            <w:pPr>
              <w:jc w:val="right"/>
              <w:ind w:right="2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80" w:type="dxa"/>
            <w:vAlign w:val="bottom"/>
            <w:gridSpan w:val="7"/>
            <w:vMerge w:val="continue"/>
          </w:tcPr>
          <w:p>
            <w:pPr>
              <w:spacing w:after="0"/>
              <w:rPr>
                <w:sz w:val="9"/>
                <w:szCs w:val="9"/>
                <w:color w:val="auto"/>
              </w:rPr>
            </w:pPr>
          </w:p>
        </w:tc>
        <w:tc>
          <w:tcPr>
            <w:tcW w:w="36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LITTLE ROCK  AR</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72201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gridSpan w:val="5"/>
          </w:tcPr>
          <w:p>
            <w:pPr>
              <w:ind w:left="200"/>
              <w:spacing w:after="0"/>
              <w:rPr>
                <w:sz w:val="20"/>
                <w:szCs w:val="20"/>
                <w:color w:val="auto"/>
              </w:rPr>
            </w:pPr>
            <w:r>
              <w:rPr>
                <w:rFonts w:ascii="Arial" w:cs="Arial" w:eastAsia="Arial" w:hAnsi="Arial"/>
                <w:sz w:val="13"/>
                <w:szCs w:val="13"/>
                <w:color w:val="auto"/>
                <w:w w:val="98"/>
              </w:rPr>
              <w:t>Form filed by One Reporting Person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Class A</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6"/>
                <w:szCs w:val="16"/>
                <w:color w:val="0000FF"/>
              </w:rPr>
              <w:t>06/04/2026</w:t>
            </w: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w w:val="96"/>
              </w:rPr>
              <w:t>2,850</w:t>
            </w:r>
            <w:r>
              <w:rPr>
                <w:rFonts w:ascii="Times New Roman" w:cs="Times New Roman" w:eastAsia="Times New Roman" w:hAnsi="Times New Roman"/>
                <w:sz w:val="20"/>
                <w:szCs w:val="20"/>
                <w:color w:val="008000"/>
                <w:w w:val="96"/>
                <w:vertAlign w:val="superscript"/>
              </w:rPr>
              <w:t>(1)</w:t>
            </w:r>
          </w:p>
        </w:tc>
        <w:tc>
          <w:tcPr>
            <w:tcW w:w="620" w:type="dxa"/>
            <w:vAlign w:val="bottom"/>
            <w:tcBorders>
              <w:bottom w:val="single" w:sz="8" w:color="2C2C2C"/>
            </w:tcBorders>
          </w:tcPr>
          <w:p>
            <w:pPr>
              <w:jc w:val="right"/>
              <w:ind w:right="1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404,129</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6"/>
                <w:szCs w:val="16"/>
                <w:color w:val="0000FF"/>
                <w:w w:val="86"/>
              </w:rPr>
              <w:t>D</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Class A - Retirement Plan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35,539</w:t>
            </w:r>
          </w:p>
        </w:tc>
        <w:tc>
          <w:tcPr>
            <w:tcW w:w="340" w:type="dxa"/>
            <w:vAlign w:val="bottom"/>
          </w:tcPr>
          <w:p>
            <w:pPr>
              <w:spacing w:after="0"/>
              <w:rPr>
                <w:sz w:val="21"/>
                <w:szCs w:val="21"/>
                <w:color w:val="auto"/>
              </w:rPr>
            </w:pPr>
          </w:p>
        </w:tc>
        <w:tc>
          <w:tcPr>
            <w:tcW w:w="540" w:type="dxa"/>
            <w:vAlign w:val="bottom"/>
          </w:tcPr>
          <w:p>
            <w:pPr>
              <w:jc w:val="center"/>
              <w:ind w:right="294"/>
              <w:spacing w:after="0"/>
              <w:rPr>
                <w:sz w:val="20"/>
                <w:szCs w:val="20"/>
                <w:color w:val="auto"/>
              </w:rPr>
            </w:pPr>
            <w:r>
              <w:rPr>
                <w:rFonts w:ascii="Times New Roman" w:cs="Times New Roman" w:eastAsia="Times New Roman" w:hAnsi="Times New Roman"/>
                <w:sz w:val="16"/>
                <w:szCs w:val="16"/>
                <w:color w:val="0000FF"/>
                <w:w w:val="86"/>
              </w:rPr>
              <w:t>D</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Class A</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7,300</w:t>
            </w:r>
          </w:p>
        </w:tc>
        <w:tc>
          <w:tcPr>
            <w:tcW w:w="340" w:type="dxa"/>
            <w:vAlign w:val="bottom"/>
          </w:tcPr>
          <w:p>
            <w:pPr>
              <w:spacing w:after="0"/>
              <w:rPr>
                <w:sz w:val="20"/>
                <w:szCs w:val="20"/>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Class A</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2,521</w:t>
            </w:r>
          </w:p>
        </w:tc>
        <w:tc>
          <w:tcPr>
            <w:tcW w:w="340" w:type="dxa"/>
            <w:vAlign w:val="bottom"/>
          </w:tcPr>
          <w:p>
            <w:pPr>
              <w:spacing w:after="0"/>
              <w:rPr>
                <w:sz w:val="20"/>
                <w:szCs w:val="20"/>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2"/>
          </w:tcPr>
          <w:p>
            <w:pPr>
              <w:jc w:val="right"/>
              <w:ind w:right="2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06/04/2026</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273,724</w:t>
            </w:r>
            <w:r>
              <w:rPr>
                <w:rFonts w:ascii="Times New Roman" w:cs="Times New Roman" w:eastAsia="Times New Roman" w:hAnsi="Times New Roman"/>
                <w:sz w:val="20"/>
                <w:szCs w:val="20"/>
                <w:color w:val="008000"/>
                <w:vertAlign w:val="superscript"/>
              </w:rPr>
              <w:t>(6)</w:t>
            </w:r>
          </w:p>
        </w:tc>
        <w:tc>
          <w:tcPr>
            <w:tcW w:w="260" w:type="dxa"/>
            <w:vAlign w:val="bottom"/>
          </w:tcPr>
          <w:p>
            <w:pPr>
              <w:spacing w:after="0"/>
              <w:rPr>
                <w:sz w:val="20"/>
                <w:szCs w:val="20"/>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273,724</w:t>
            </w:r>
          </w:p>
        </w:tc>
        <w:tc>
          <w:tcPr>
            <w:tcW w:w="20" w:type="dxa"/>
            <w:vAlign w:val="bottom"/>
          </w:tcPr>
          <w:p>
            <w:pPr>
              <w:spacing w:after="0"/>
              <w:rPr>
                <w:sz w:val="20"/>
                <w:szCs w:val="20"/>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273,724</w:t>
            </w: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right"/>
              <w:ind w:right="100"/>
              <w:spacing w:after="0" w:line="139" w:lineRule="exact"/>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-1635125</wp:posOffset>
            </wp:positionV>
            <wp:extent cx="28575" cy="1640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402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jc w:val="both"/>
        <w:ind w:left="40" w:right="26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4, 2026, pursuant to the Agreement and Plan of Merger, dated as of March 20, 2026 (as amended, the "Merger Agreement"), by and among Dillard's, Inc. (the "Issuer"), W.D. Company, Inc., an Arkansas corporation ("WDC"), and Alex Dillard, solely in his capacity as the shareholder representative, WDC was merged with and into the Issuer (the "Merger"), with the Issuer surviving the Merger. The amount reported represents shares of Issuer Class A Common Stock acquired by the reporting person upon consummation of the Merger, in her capacity as a shareholder of WDC.</w:t>
      </w:r>
    </w:p>
    <w:p>
      <w:pPr>
        <w:spacing w:after="0" w:line="24" w:lineRule="exact"/>
        <w:rPr>
          <w:rFonts w:ascii="Times New Roman" w:cs="Times New Roman" w:eastAsia="Times New Roman" w:hAnsi="Times New Roman"/>
          <w:sz w:val="13"/>
          <w:szCs w:val="13"/>
          <w:color w:val="008000"/>
        </w:rPr>
      </w:pPr>
    </w:p>
    <w:p>
      <w:pPr>
        <w:ind w:left="40" w:right="22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WDC common stock issued and outstanding immediately prior to the effective time of the Merger was automatically cancelled, and in exchange therefor, each WDC shareholder received such WDC shareholder's pro rata share of (a) up 41,496 shares of Issuer Class A Common Stock and up to 3,985,776 shares of Issuer Class B Common Stock and (b) the amount in cash equal to the sum of (i) WDC's cash and cash equivalents as of the closing date of the Merger, plus (ii) the value of other publicly traded securities owned by WDC (determined as described in the Merger Agreement).</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A Common Stock held by a trust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A Common Stock held by the reporting person's spouse.</w:t>
      </w:r>
    </w:p>
    <w:p>
      <w:pPr>
        <w:spacing w:after="0" w:line="39" w:lineRule="exact"/>
        <w:rPr>
          <w:rFonts w:ascii="Times New Roman" w:cs="Times New Roman" w:eastAsia="Times New Roman" w:hAnsi="Times New Roman"/>
          <w:sz w:val="13"/>
          <w:szCs w:val="13"/>
          <w:color w:val="008000"/>
        </w:rPr>
      </w:pPr>
    </w:p>
    <w:p>
      <w:pPr>
        <w:ind w:left="40" w:right="4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Issuer Class B Common Stock are convertible at the option of any holder thereof into shares of Issuer Class A Common Stock on a one-for-one basis. Issuer Class B Common Stock has no expiration date.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B Common Stock acquired by the reporting person upon consummation of the Merger, in her capacity as a shareholder of WDC.</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Drue Matheny By: Julie</w:t>
            </w:r>
          </w:p>
        </w:tc>
        <w:tc>
          <w:tcPr>
            <w:tcW w:w="4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06/05/2026</w:t>
            </w:r>
          </w:p>
        </w:tc>
        <w:tc>
          <w:tcPr>
            <w:tcW w:w="0" w:type="dxa"/>
            <w:vAlign w:val="bottom"/>
          </w:tcPr>
          <w:p>
            <w:pPr>
              <w:spacing w:after="0"/>
              <w:rPr>
                <w:sz w:val="1"/>
                <w:szCs w:val="1"/>
                <w:color w:val="auto"/>
              </w:rPr>
            </w:pPr>
          </w:p>
        </w:tc>
      </w:tr>
      <w:tr>
        <w:trPr>
          <w:trHeight w:val="86"/>
        </w:trPr>
        <w:tc>
          <w:tcPr>
            <w:tcW w:w="17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Guymon, Attorney-in-Fact</w:t>
            </w:r>
          </w:p>
        </w:tc>
        <w:tc>
          <w:tcPr>
            <w:tcW w:w="4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7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0017" TargetMode="External"/><Relationship Id="rId14" Type="http://schemas.openxmlformats.org/officeDocument/2006/relationships/hyperlink" Target="http://www.sec.gov/cgi-bin/browse-edgar?action=getcompany&amp;CIK=0000028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2026-06-05T05:34:37Z</dcterms:created>
  <dcterms:modified xsi:type="dcterms:W3CDTF">2026-06-05T05:34:37Z</dcterms:modified>
</cp:coreProperties>
</file>