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876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876925"/>
                    </a:xfrm>
                    <a:prstGeom prst="rect">
                      <a:avLst/>
                    </a:prstGeom>
                    <a:noFill/>
                  </pic:spPr>
                </pic:pic>
              </a:graphicData>
            </a:graphic>
          </wp:anchor>
        </w:drawing>
      </w:r>
    </w:p>
    <w:p>
      <w:pPr>
        <w:spacing w:after="0" w:line="1208" w:lineRule="exact"/>
        <w:rPr>
          <w:sz w:val="24"/>
          <w:szCs w:val="24"/>
          <w:color w:val="auto"/>
        </w:rPr>
      </w:pPr>
    </w:p>
    <w:p>
      <w:pPr>
        <w:sectPr>
          <w:pgSz w:w="11900" w:h="16877"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Dillard William T. III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CANTRELL RD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DILLARD'S,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DDS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604"/>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76" w:lineRule="exact"/>
        <w:rPr>
          <w:sz w:val="24"/>
          <w:szCs w:val="24"/>
          <w:color w:val="auto"/>
        </w:rPr>
      </w:pPr>
    </w:p>
    <w:p>
      <w:pPr>
        <w:sectPr>
          <w:pgSz w:w="11900" w:h="16877" w:orient="portrait"/>
          <w:cols w:equalWidth="0" w:num="3">
            <w:col w:w="3180" w:space="720"/>
            <w:col w:w="3116" w:space="720"/>
            <w:col w:w="3344"/>
          </w:cols>
          <w:pgMar w:left="460" w:top="216" w:right="359" w:bottom="0" w:gutter="0" w:footer="0" w:header="0"/>
          <w:type w:val="continuous"/>
        </w:sectPr>
      </w:pP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10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720" w:type="dxa"/>
            <w:vAlign w:val="bottom"/>
            <w:gridSpan w:val="9"/>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720" w:type="dxa"/>
            <w:vAlign w:val="bottom"/>
            <w:gridSpan w:val="9"/>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LITTLE ROCK  AR</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72201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4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6"/>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Borders>
              <w:bottom w:val="single" w:sz="8" w:color="2C2C2C"/>
            </w:tcBorders>
          </w:tcPr>
          <w:p>
            <w:pPr>
              <w:ind w:left="220"/>
              <w:spacing w:after="0" w:line="306" w:lineRule="exact"/>
              <w:rPr>
                <w:sz w:val="20"/>
                <w:szCs w:val="20"/>
                <w:color w:val="auto"/>
              </w:rPr>
            </w:pPr>
            <w:r>
              <w:rPr>
                <w:rFonts w:ascii="Times New Roman" w:cs="Times New Roman" w:eastAsia="Times New Roman" w:hAnsi="Times New Roman"/>
                <w:sz w:val="33"/>
                <w:szCs w:val="33"/>
                <w:color w:val="0000FF"/>
                <w:w w:val="91"/>
                <w:vertAlign w:val="subscript"/>
              </w:rPr>
              <w:t>734</w:t>
            </w:r>
            <w:r>
              <w:rPr>
                <w:rFonts w:ascii="Times New Roman" w:cs="Times New Roman" w:eastAsia="Times New Roman" w:hAnsi="Times New Roman"/>
                <w:sz w:val="11"/>
                <w:szCs w:val="11"/>
                <w:color w:val="008000"/>
                <w:w w:val="91"/>
              </w:rPr>
              <w:t>(1)</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29,699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7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Pr>
          <w:p>
            <w:pPr>
              <w:spacing w:after="0"/>
              <w:rPr>
                <w:sz w:val="21"/>
                <w:szCs w:val="21"/>
                <w:color w:val="auto"/>
              </w:rPr>
            </w:pPr>
          </w:p>
        </w:tc>
        <w:tc>
          <w:tcPr>
            <w:tcW w:w="18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33"/>
                <w:szCs w:val="33"/>
                <w:color w:val="0000FF"/>
                <w:w w:val="91"/>
                <w:vertAlign w:val="subscript"/>
              </w:rPr>
              <w:t>400</w:t>
            </w:r>
            <w:r>
              <w:rPr>
                <w:rFonts w:ascii="Times New Roman" w:cs="Times New Roman" w:eastAsia="Times New Roman" w:hAnsi="Times New Roman"/>
                <w:sz w:val="11"/>
                <w:szCs w:val="11"/>
                <w:color w:val="008000"/>
                <w:w w:val="91"/>
              </w:rPr>
              <w:t>(3)</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189,465</w:t>
            </w:r>
          </w:p>
        </w:tc>
        <w:tc>
          <w:tcPr>
            <w:tcW w:w="340" w:type="dxa"/>
            <w:vAlign w:val="bottom"/>
          </w:tcPr>
          <w:p>
            <w:pPr>
              <w:spacing w:after="0"/>
              <w:rPr>
                <w:sz w:val="21"/>
                <w:szCs w:val="21"/>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1060" w:type="dxa"/>
            <w:vAlign w:val="bottom"/>
          </w:tcPr>
          <w:p>
            <w:pPr>
              <w:spacing w:after="0"/>
              <w:rPr>
                <w:sz w:val="21"/>
                <w:szCs w:val="21"/>
                <w:color w:val="auto"/>
              </w:rPr>
            </w:pPr>
          </w:p>
        </w:tc>
        <w:tc>
          <w:tcPr>
            <w:tcW w:w="18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100</w:t>
            </w:r>
            <w:r>
              <w:rPr>
                <w:rFonts w:ascii="Times New Roman" w:cs="Times New Roman" w:eastAsia="Times New Roman" w:hAnsi="Times New Roman"/>
                <w:sz w:val="21"/>
                <w:szCs w:val="21"/>
                <w:color w:val="008000"/>
                <w:vertAlign w:val="superscript"/>
              </w:rPr>
              <w:t>(5)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13,755</w:t>
            </w:r>
          </w:p>
        </w:tc>
        <w:tc>
          <w:tcPr>
            <w:tcW w:w="340" w:type="dxa"/>
            <w:vAlign w:val="bottom"/>
          </w:tcPr>
          <w:p>
            <w:pPr>
              <w:spacing w:after="0"/>
              <w:rPr>
                <w:sz w:val="21"/>
                <w:szCs w:val="21"/>
                <w:color w:val="auto"/>
              </w:rPr>
            </w:pPr>
          </w:p>
        </w:tc>
        <w:tc>
          <w:tcPr>
            <w:tcW w:w="540" w:type="dxa"/>
            <w:vAlign w:val="bottom"/>
            <w:vMerge w:val="restart"/>
          </w:tcPr>
          <w:p>
            <w:pPr>
              <w:jc w:val="center"/>
              <w:ind w:right="29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w w:val="98"/>
              </w:rPr>
              <w:t>Common Class A - Retirement Plan</w:t>
            </w:r>
          </w:p>
        </w:tc>
        <w:tc>
          <w:tcPr>
            <w:tcW w:w="11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15,808</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jc w:val="center"/>
              <w:ind w:right="27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8"/>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4"/>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3"/>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3"/>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Acquired (A)</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or Disposed</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4"/>
          </w:tcPr>
          <w:p>
            <w:pPr>
              <w:ind w:left="120"/>
              <w:spacing w:after="0"/>
              <w:rPr>
                <w:sz w:val="20"/>
                <w:szCs w:val="20"/>
                <w:color w:val="auto"/>
              </w:rPr>
            </w:pPr>
            <w:r>
              <w:rPr>
                <w:rFonts w:ascii="Arial" w:cs="Arial" w:eastAsia="Arial" w:hAnsi="Arial"/>
                <w:sz w:val="11"/>
                <w:szCs w:val="11"/>
                <w:b w:val="1"/>
                <w:bCs w:val="1"/>
                <w:color w:val="auto"/>
              </w:rPr>
              <w:t>of (D) (Instr. 3,</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3"/>
          </w:tcPr>
          <w:p>
            <w:pPr>
              <w:ind w:left="12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gridSpan w:val="3"/>
          </w:tcPr>
          <w:p>
            <w:pPr>
              <w:jc w:val="right"/>
              <w:ind w:right="47"/>
              <w:spacing w:after="0"/>
              <w:rPr>
                <w:sz w:val="20"/>
                <w:szCs w:val="20"/>
                <w:color w:val="auto"/>
              </w:rPr>
            </w:pPr>
            <w:r>
              <w:rPr>
                <w:rFonts w:ascii="Times New Roman" w:cs="Times New Roman" w:eastAsia="Times New Roman" w:hAnsi="Times New Roman"/>
                <w:sz w:val="13"/>
                <w:szCs w:val="13"/>
                <w:color w:val="0000FF"/>
              </w:rPr>
              <w:t>70,445</w:t>
            </w:r>
            <w:r>
              <w:rPr>
                <w:rFonts w:ascii="Times New Roman" w:cs="Times New Roman" w:eastAsia="Times New Roman" w:hAnsi="Times New Roman"/>
                <w:sz w:val="21"/>
                <w:szCs w:val="21"/>
                <w:color w:val="008000"/>
                <w:vertAlign w:val="superscript"/>
              </w:rPr>
              <w:t>(8)</w:t>
            </w:r>
          </w:p>
        </w:tc>
        <w:tc>
          <w:tcPr>
            <w:tcW w:w="300" w:type="dxa"/>
            <w:vAlign w:val="bottom"/>
          </w:tcPr>
          <w:p>
            <w:pPr>
              <w:spacing w:after="0"/>
              <w:rPr>
                <w:sz w:val="21"/>
                <w:szCs w:val="21"/>
                <w:color w:val="auto"/>
              </w:rPr>
            </w:pPr>
          </w:p>
        </w:tc>
        <w:tc>
          <w:tcPr>
            <w:tcW w:w="78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70,445</w:t>
            </w:r>
          </w:p>
        </w:tc>
        <w:tc>
          <w:tcPr>
            <w:tcW w:w="40" w:type="dxa"/>
            <w:vAlign w:val="bottom"/>
          </w:tcPr>
          <w:p>
            <w:pPr>
              <w:spacing w:after="0"/>
              <w:rPr>
                <w:sz w:val="21"/>
                <w:szCs w:val="21"/>
                <w:color w:val="auto"/>
              </w:rPr>
            </w:pP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70,445</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38,472</w:t>
            </w:r>
          </w:p>
        </w:tc>
        <w:tc>
          <w:tcPr>
            <w:tcW w:w="22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77"/>
              </w:rPr>
              <w:t>(9)</w:t>
            </w:r>
          </w:p>
        </w:tc>
        <w:tc>
          <w:tcPr>
            <w:tcW w:w="300" w:type="dxa"/>
            <w:vAlign w:val="bottom"/>
          </w:tcPr>
          <w:p>
            <w:pPr>
              <w:spacing w:after="0"/>
              <w:rPr>
                <w:sz w:val="15"/>
                <w:szCs w:val="15"/>
                <w:color w:val="auto"/>
              </w:rPr>
            </w:pP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38,472</w:t>
            </w:r>
          </w:p>
        </w:tc>
        <w:tc>
          <w:tcPr>
            <w:tcW w:w="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38,472</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Times New Roman" w:cs="Times New Roman" w:eastAsia="Times New Roman" w:hAnsi="Times New Roman"/>
                <w:sz w:val="7"/>
                <w:szCs w:val="7"/>
                <w:color w:val="0000FF"/>
              </w:rPr>
              <w:t>Class B</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tcPr>
          <w:p>
            <w:pPr>
              <w:ind w:left="120"/>
              <w:spacing w:after="0" w:line="64" w:lineRule="exact"/>
              <w:rPr>
                <w:sz w:val="20"/>
                <w:szCs w:val="20"/>
                <w:color w:val="auto"/>
              </w:rPr>
            </w:pPr>
            <w:r>
              <w:rPr>
                <w:rFonts w:ascii="Times New Roman" w:cs="Times New Roman" w:eastAsia="Times New Roman" w:hAnsi="Times New Roman"/>
                <w:sz w:val="7"/>
                <w:szCs w:val="7"/>
                <w:color w:val="0000FF"/>
              </w:rPr>
              <w:t>Class A</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Borders>
              <w:right w:val="single" w:sz="8" w:color="2C2C2C"/>
            </w:tcBorders>
            <w:gridSpan w:val="3"/>
          </w:tcPr>
          <w:p>
            <w:pPr>
              <w:ind w:left="40"/>
              <w:spacing w:after="0" w:line="64"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06/04/2026</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w w:val="88"/>
              </w:rPr>
              <w:t>9,618</w:t>
            </w:r>
          </w:p>
        </w:tc>
        <w:tc>
          <w:tcPr>
            <w:tcW w:w="28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1"/>
                <w:szCs w:val="11"/>
                <w:color w:val="008000"/>
                <w:w w:val="87"/>
              </w:rPr>
              <w:t>(10)</w:t>
            </w:r>
          </w:p>
        </w:tc>
        <w:tc>
          <w:tcPr>
            <w:tcW w:w="300" w:type="dxa"/>
            <w:vAlign w:val="bottom"/>
          </w:tcPr>
          <w:p>
            <w:pPr>
              <w:spacing w:after="0"/>
              <w:rPr>
                <w:sz w:val="15"/>
                <w:szCs w:val="15"/>
                <w:color w:val="auto"/>
              </w:rPr>
            </w:pPr>
          </w:p>
        </w:tc>
        <w:tc>
          <w:tcPr>
            <w:tcW w:w="7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9,618</w:t>
            </w:r>
          </w:p>
        </w:tc>
        <w:tc>
          <w:tcPr>
            <w:tcW w:w="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9,618</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right w:val="single" w:sz="8" w:color="2C2C2C"/>
            </w:tcBorders>
            <w:gridSpan w:val="3"/>
            <w:vMerge w:val="restart"/>
          </w:tcPr>
          <w:p>
            <w:pPr>
              <w:ind w:left="40"/>
              <w:spacing w:after="0" w:line="230"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vMerge w:val="continue"/>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520" w:type="dxa"/>
            <w:vAlign w:val="bottom"/>
            <w:tcBorders>
              <w:bottom w:val="single" w:sz="8" w:color="2C2C2C"/>
            </w:tcBorders>
            <w:vMerge w:val="continue"/>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-2289175</wp:posOffset>
            </wp:positionV>
            <wp:extent cx="29210" cy="2294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48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4, 2026, pursuant to the Agreement and Plan of Merger, dated as of March 20, 2026 (as amended, the "Merger Agreement"), by and among Dillard's, Inc. (the "Issuer"), W.D. Company, Inc., an Arkansas corporation ("WDC"), and Alex Dillard, solely in his capacity as the shareholder representative, WDC was merged with and into the Issuer (the "Merger"), with the Issuer surviving the Merger. The amount reported represents shares of Issuer Class A Common Stock acquired by the reporting person upon consummation of the Merger, in his capacity as a shareholder of WDC.</w:t>
      </w:r>
    </w:p>
    <w:p>
      <w:pPr>
        <w:spacing w:after="0" w:line="27" w:lineRule="exact"/>
        <w:rPr>
          <w:rFonts w:ascii="Times New Roman" w:cs="Times New Roman" w:eastAsia="Times New Roman" w:hAnsi="Times New Roman"/>
          <w:sz w:val="13"/>
          <w:szCs w:val="13"/>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WDC common stock issued and outstanding immediately prior to the effective time of the Merger was automatically cancelled, and in exchange therefor, each WDC shareholder received such WDC shareholder's pro rata share of (a) up 41,496 shares of Issuer Class A Common Stock and up to 3,985,776 shares of Issuer Class B Common Stock and (b) the amount in cash equal to the sum of (i) WDC's cash and cash equivalents as of the closing date of the Merger, plus (ii) the value of other publicly traded securities owned by WDC (determined as described in the Merger Agreement).</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acquired by trusts upon consummation of the Merger, in their respective capacities as shareholders of WDC.</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held in trust for the benefit of the reporting person and his family,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A Common Stock acquired by the reporting person's spouse upon consummation of the Merger, in her capacity as a shareholder of WDC.</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held by the reporting person's spouse.</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Issuer Class B Common Stock are convertible at the option of any holder thereof into shares of Issuer Class A Common Stock on a one-for-one basis. Issuer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the reporting person upon consummation of the Merger, in his capacity as a shareholder of WDC.</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trusts upon consummation of the Merger, in their respective capacities as shareholders of WDC.</w:t>
      </w:r>
    </w:p>
    <w:p>
      <w:pPr>
        <w:spacing w:after="0" w:line="41" w:lineRule="exact"/>
        <w:rPr>
          <w:rFonts w:ascii="Times New Roman" w:cs="Times New Roman" w:eastAsia="Times New Roman" w:hAnsi="Times New Roman"/>
          <w:sz w:val="13"/>
          <w:szCs w:val="13"/>
          <w:color w:val="008000"/>
        </w:rPr>
      </w:pPr>
    </w:p>
    <w:p>
      <w:pPr>
        <w:ind w:left="240" w:hanging="200"/>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reported represents shares of Issuer Class B Common Stock acquired by the reporting person's spouse upon consummation of the Merger, in her capacity as a shareholder of WDC.</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T. Dillard, III By: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14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Julie Guymon, Attorney-in-Fact</w:t>
            </w:r>
          </w:p>
        </w:tc>
        <w:tc>
          <w:tcPr>
            <w:tcW w:w="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7"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2970"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2026-06-05T05:33:14Z</dcterms:created>
  <dcterms:modified xsi:type="dcterms:W3CDTF">2026-06-05T05:33:14Z</dcterms:modified>
</cp:coreProperties>
</file>