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1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CURRENT REPORT</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Section 13 OR 15(d) of The Securities Exchange Act of 1934</w:t>
      </w:r>
    </w:p>
    <w:p>
      <w:pPr>
        <w:spacing w:after="0" w:line="1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Date of Report (Date of earliest event reported): January 26, 2024</w:t>
      </w:r>
    </w:p>
    <w:p>
      <w:pPr>
        <w:spacing w:after="0" w:line="1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Dillard’s,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90170</wp:posOffset>
            </wp:positionV>
            <wp:extent cx="56578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90170</wp:posOffset>
            </wp:positionV>
            <wp:extent cx="56578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163" w:lineRule="exact"/>
        <w:rPr>
          <w:sz w:val="24"/>
          <w:szCs w:val="24"/>
          <w:color w:val="auto"/>
        </w:rPr>
      </w:pPr>
    </w:p>
    <w:tbl>
      <w:tblPr>
        <w:tblLayout w:type="fixed"/>
        <w:tblInd w:w="60" w:type="dxa"/>
        <w:tblCellMar>
          <w:top w:w="0" w:type="dxa"/>
          <w:left w:w="0" w:type="dxa"/>
          <w:bottom w:w="0" w:type="dxa"/>
          <w:right w:w="0" w:type="dxa"/>
        </w:tblCellMar>
      </w:tblPr>
      <w:tr>
        <w:trPr>
          <w:trHeight w:val="210"/>
        </w:trPr>
        <w:tc>
          <w:tcPr>
            <w:tcW w:w="6000" w:type="dxa"/>
            <w:vAlign w:val="bottom"/>
            <w:gridSpan w:val="3"/>
          </w:tcPr>
          <w:p>
            <w:pPr>
              <w:jc w:val="center"/>
              <w:ind w:left="2799"/>
              <w:spacing w:after="0"/>
              <w:rPr>
                <w:sz w:val="20"/>
                <w:szCs w:val="20"/>
                <w:color w:val="auto"/>
              </w:rPr>
            </w:pPr>
            <w:r>
              <w:rPr>
                <w:rFonts w:ascii="Times New Roman" w:cs="Times New Roman" w:eastAsia="Times New Roman" w:hAnsi="Times New Roman"/>
                <w:sz w:val="16"/>
                <w:szCs w:val="16"/>
                <w:color w:val="auto"/>
              </w:rPr>
              <w:t>(State or other jurisdiction of incorporation)</w:t>
            </w:r>
          </w:p>
        </w:tc>
        <w:tc>
          <w:tcPr>
            <w:tcW w:w="2900" w:type="dxa"/>
            <w:vAlign w:val="bottom"/>
          </w:tcPr>
          <w:p>
            <w:pPr>
              <w:spacing w:after="0"/>
              <w:rPr>
                <w:sz w:val="18"/>
                <w:szCs w:val="18"/>
                <w:color w:val="auto"/>
              </w:rPr>
            </w:pPr>
          </w:p>
        </w:tc>
      </w:tr>
      <w:tr>
        <w:trPr>
          <w:trHeight w:val="311"/>
        </w:trPr>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1-6140</w:t>
            </w:r>
          </w:p>
        </w:tc>
        <w:tc>
          <w:tcPr>
            <w:tcW w:w="260" w:type="dxa"/>
            <w:vAlign w:val="bottom"/>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jc w:val="right"/>
              <w:ind w:right="1699"/>
              <w:spacing w:after="0"/>
              <w:rPr>
                <w:sz w:val="20"/>
                <w:szCs w:val="20"/>
                <w:color w:val="auto"/>
              </w:rPr>
            </w:pPr>
            <w:r>
              <w:rPr>
                <w:rFonts w:ascii="Times New Roman" w:cs="Times New Roman" w:eastAsia="Times New Roman" w:hAnsi="Times New Roman"/>
                <w:sz w:val="16"/>
                <w:szCs w:val="16"/>
                <w:b w:val="1"/>
                <w:bCs w:val="1"/>
                <w:color w:val="auto"/>
              </w:rPr>
              <w:t>71-0388071</w:t>
            </w:r>
          </w:p>
        </w:tc>
      </w:tr>
      <w:tr>
        <w:trPr>
          <w:trHeight w:val="188"/>
        </w:trPr>
        <w:tc>
          <w:tcPr>
            <w:tcW w:w="4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(Commission File Number)</w:t>
            </w:r>
          </w:p>
        </w:tc>
        <w:tc>
          <w:tcPr>
            <w:tcW w:w="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900" w:type="dxa"/>
            <w:vAlign w:val="bottom"/>
          </w:tcPr>
          <w:p>
            <w:pPr>
              <w:jc w:val="center"/>
              <w:ind w:right="1359"/>
              <w:spacing w:after="0"/>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4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900" w:type="dxa"/>
            <w:vAlign w:val="bottom"/>
          </w:tcPr>
          <w:p>
            <w:pPr>
              <w:jc w:val="center"/>
              <w:ind w:right="1379"/>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287"/>
        </w:trPr>
        <w:tc>
          <w:tcPr>
            <w:tcW w:w="6000" w:type="dxa"/>
            <w:vAlign w:val="bottom"/>
            <w:gridSpan w:val="3"/>
          </w:tcPr>
          <w:p>
            <w:pPr>
              <w:jc w:val="center"/>
              <w:ind w:right="1700"/>
              <w:spacing w:after="0"/>
              <w:rPr>
                <w:sz w:val="20"/>
                <w:szCs w:val="20"/>
                <w:color w:val="auto"/>
              </w:rPr>
            </w:pPr>
            <w:r>
              <w:rPr>
                <w:rFonts w:ascii="Times New Roman" w:cs="Times New Roman" w:eastAsia="Times New Roman" w:hAnsi="Times New Roman"/>
                <w:sz w:val="16"/>
                <w:szCs w:val="16"/>
                <w:b w:val="1"/>
                <w:bCs w:val="1"/>
                <w:color w:val="auto"/>
              </w:rPr>
              <w:t>1600 Cantrell Road</w:t>
            </w:r>
          </w:p>
        </w:tc>
        <w:tc>
          <w:tcPr>
            <w:tcW w:w="2900" w:type="dxa"/>
            <w:vAlign w:val="bottom"/>
          </w:tcPr>
          <w:p>
            <w:pPr>
              <w:spacing w:after="0"/>
              <w:rPr>
                <w:sz w:val="24"/>
                <w:szCs w:val="24"/>
                <w:color w:val="auto"/>
              </w:rPr>
            </w:pPr>
          </w:p>
        </w:tc>
      </w:tr>
      <w:tr>
        <w:trPr>
          <w:trHeight w:val="212"/>
        </w:trPr>
        <w:tc>
          <w:tcPr>
            <w:tcW w:w="6000" w:type="dxa"/>
            <w:vAlign w:val="bottom"/>
            <w:gridSpan w:val="3"/>
          </w:tcPr>
          <w:p>
            <w:pPr>
              <w:jc w:val="center"/>
              <w:ind w:right="1700"/>
              <w:spacing w:after="0"/>
              <w:rPr>
                <w:sz w:val="20"/>
                <w:szCs w:val="20"/>
                <w:color w:val="auto"/>
              </w:rPr>
            </w:pPr>
            <w:r>
              <w:rPr>
                <w:rFonts w:ascii="Times New Roman" w:cs="Times New Roman" w:eastAsia="Times New Roman" w:hAnsi="Times New Roman"/>
                <w:sz w:val="16"/>
                <w:szCs w:val="16"/>
                <w:b w:val="1"/>
                <w:bCs w:val="1"/>
                <w:color w:val="auto"/>
              </w:rPr>
              <w:t>Little Rock, Arkansas</w:t>
            </w:r>
          </w:p>
        </w:tc>
        <w:tc>
          <w:tcPr>
            <w:tcW w:w="2900" w:type="dxa"/>
            <w:vAlign w:val="bottom"/>
          </w:tcPr>
          <w:p>
            <w:pPr>
              <w:jc w:val="right"/>
              <w:ind w:right="1899"/>
              <w:spacing w:after="0"/>
              <w:rPr>
                <w:sz w:val="20"/>
                <w:szCs w:val="20"/>
                <w:color w:val="auto"/>
              </w:rPr>
            </w:pPr>
            <w:r>
              <w:rPr>
                <w:rFonts w:ascii="Times New Roman" w:cs="Times New Roman" w:eastAsia="Times New Roman" w:hAnsi="Times New Roman"/>
                <w:sz w:val="16"/>
                <w:szCs w:val="16"/>
                <w:b w:val="1"/>
                <w:bCs w:val="1"/>
                <w:color w:val="auto"/>
              </w:rPr>
              <w:t>72201</w:t>
            </w:r>
          </w:p>
        </w:tc>
      </w:tr>
      <w:tr>
        <w:trPr>
          <w:trHeight w:val="210"/>
        </w:trPr>
        <w:tc>
          <w:tcPr>
            <w:tcW w:w="4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26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2900" w:type="dxa"/>
            <w:vAlign w:val="bottom"/>
            <w:tcBorders>
              <w:top w:val="single" w:sz="8" w:color="auto"/>
            </w:tcBorders>
          </w:tcPr>
          <w:p>
            <w:pPr>
              <w:jc w:val="center"/>
              <w:ind w:right="1379"/>
              <w:spacing w:after="0"/>
              <w:rPr>
                <w:sz w:val="20"/>
                <w:szCs w:val="20"/>
                <w:color w:val="auto"/>
              </w:rPr>
            </w:pPr>
            <w:r>
              <w:rPr>
                <w:rFonts w:ascii="Times New Roman" w:cs="Times New Roman" w:eastAsia="Times New Roman" w:hAnsi="Times New Roman"/>
                <w:sz w:val="16"/>
                <w:szCs w:val="16"/>
                <w:color w:val="auto"/>
              </w:rPr>
              <w:t>(Zip Code)</w:t>
            </w:r>
          </w:p>
        </w:tc>
      </w:tr>
      <w:tr>
        <w:trPr>
          <w:trHeight w:val="283"/>
        </w:trPr>
        <w:tc>
          <w:tcPr>
            <w:tcW w:w="6000" w:type="dxa"/>
            <w:vAlign w:val="bottom"/>
            <w:gridSpan w:val="3"/>
          </w:tcPr>
          <w:p>
            <w:pPr>
              <w:jc w:val="right"/>
              <w:ind w:right="1040"/>
              <w:spacing w:after="0"/>
              <w:rPr>
                <w:sz w:val="20"/>
                <w:szCs w:val="20"/>
                <w:color w:val="auto"/>
              </w:rPr>
            </w:pPr>
            <w:r>
              <w:rPr>
                <w:rFonts w:ascii="Times New Roman" w:cs="Times New Roman" w:eastAsia="Times New Roman" w:hAnsi="Times New Roman"/>
                <w:sz w:val="16"/>
                <w:szCs w:val="16"/>
                <w:b w:val="1"/>
                <w:bCs w:val="1"/>
                <w:color w:val="auto"/>
              </w:rPr>
              <w:t>(501) 376-5200</w:t>
            </w:r>
          </w:p>
        </w:tc>
        <w:tc>
          <w:tcPr>
            <w:tcW w:w="29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81280</wp:posOffset>
            </wp:positionV>
            <wp:extent cx="56578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1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90170</wp:posOffset>
            </wp:positionV>
            <wp:extent cx="565785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pacing w:after="0" w:line="1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(Former name or former address, if changed since last report.)</w:t>
      </w:r>
    </w:p>
    <w:p>
      <w:pPr>
        <w:spacing w:after="0" w:line="113" w:lineRule="exact"/>
        <w:rPr>
          <w:sz w:val="24"/>
          <w:szCs w:val="24"/>
          <w:color w:val="auto"/>
        </w:rPr>
      </w:pPr>
    </w:p>
    <w:p>
      <w:pPr>
        <w:jc w:val="both"/>
        <w:ind w:left="60" w:right="79"/>
        <w:spacing w:after="0" w:line="298" w:lineRule="auto"/>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6"/>
          <w:szCs w:val="16"/>
          <w:u w:val="single" w:color="auto"/>
          <w:color w:val="auto"/>
        </w:rPr>
        <w:t>see</w:t>
      </w:r>
      <w:r>
        <w:rPr>
          <w:rFonts w:ascii="Times New Roman" w:cs="Times New Roman" w:eastAsia="Times New Roman" w:hAnsi="Times New Roman"/>
          <w:sz w:val="16"/>
          <w:szCs w:val="16"/>
          <w:color w:val="auto"/>
        </w:rPr>
        <w:t xml:space="preserve"> General Instruction A.2. below):</w:t>
      </w:r>
    </w:p>
    <w:p>
      <w:pPr>
        <w:spacing w:after="0" w:line="56" w:lineRule="exact"/>
        <w:rPr>
          <w:sz w:val="24"/>
          <w:szCs w:val="24"/>
          <w:color w:val="auto"/>
        </w:rPr>
      </w:pPr>
    </w:p>
    <w:p>
      <w:pPr>
        <w:ind w:left="800" w:hanging="528"/>
        <w:spacing w:after="0"/>
        <w:tabs>
          <w:tab w:leader="none" w:pos="8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13" w:lineRule="exact"/>
        <w:rPr>
          <w:rFonts w:ascii="MS PGothic" w:cs="MS PGothic" w:eastAsia="MS PGothic" w:hAnsi="MS PGothic"/>
          <w:sz w:val="16"/>
          <w:szCs w:val="16"/>
          <w:color w:val="auto"/>
        </w:rPr>
      </w:pPr>
    </w:p>
    <w:p>
      <w:pPr>
        <w:ind w:left="800" w:hanging="528"/>
        <w:spacing w:after="0"/>
        <w:tabs>
          <w:tab w:leader="none" w:pos="8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40" w:lineRule="exact"/>
        <w:rPr>
          <w:rFonts w:ascii="MS PGothic" w:cs="MS PGothic" w:eastAsia="MS PGothic" w:hAnsi="MS PGothic"/>
          <w:sz w:val="16"/>
          <w:szCs w:val="16"/>
          <w:color w:val="auto"/>
        </w:rPr>
      </w:pPr>
    </w:p>
    <w:p>
      <w:pPr>
        <w:ind w:left="800" w:hanging="528"/>
        <w:spacing w:after="0"/>
        <w:tabs>
          <w:tab w:leader="none" w:pos="8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13" w:lineRule="exact"/>
        <w:rPr>
          <w:rFonts w:ascii="MS PGothic" w:cs="MS PGothic" w:eastAsia="MS PGothic" w:hAnsi="MS PGothic"/>
          <w:sz w:val="16"/>
          <w:szCs w:val="16"/>
          <w:color w:val="auto"/>
        </w:rPr>
      </w:pPr>
    </w:p>
    <w:p>
      <w:pPr>
        <w:ind w:left="60" w:right="979" w:firstLine="212"/>
        <w:spacing w:after="0" w:line="405" w:lineRule="auto"/>
        <w:tabs>
          <w:tab w:leader="none" w:pos="808"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 Securities registered pursuant to Section 12(b) of the Act:</w:t>
      </w:r>
    </w:p>
    <w:tbl>
      <w:tblPr>
        <w:tblLayout w:type="fixed"/>
        <w:tblInd w:w="70" w:type="dxa"/>
        <w:tblCellMar>
          <w:top w:w="0" w:type="dxa"/>
          <w:left w:w="0" w:type="dxa"/>
          <w:bottom w:w="0" w:type="dxa"/>
          <w:right w:w="0" w:type="dxa"/>
        </w:tblCellMar>
      </w:tblPr>
      <w:tr>
        <w:trPr>
          <w:trHeight w:val="217"/>
        </w:trPr>
        <w:tc>
          <w:tcPr>
            <w:tcW w:w="332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17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38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33"/>
        </w:trPr>
        <w:tc>
          <w:tcPr>
            <w:tcW w:w="3320" w:type="dxa"/>
            <w:vAlign w:val="bottom"/>
            <w:tcBorders>
              <w:left w:val="single" w:sz="8" w:color="auto"/>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3840" w:type="dxa"/>
            <w:vAlign w:val="bottom"/>
            <w:tcBorders>
              <w:bottom w:val="single" w:sz="8" w:color="auto"/>
              <w:right w:val="single" w:sz="8" w:color="auto"/>
            </w:tcBorders>
          </w:tcPr>
          <w:p>
            <w:pPr>
              <w:spacing w:after="0"/>
              <w:rPr>
                <w:sz w:val="2"/>
                <w:szCs w:val="2"/>
                <w:color w:val="auto"/>
              </w:rPr>
            </w:pPr>
          </w:p>
        </w:tc>
      </w:tr>
      <w:tr>
        <w:trPr>
          <w:trHeight w:val="244"/>
        </w:trPr>
        <w:tc>
          <w:tcPr>
            <w:tcW w:w="33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Class A Common Stock</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DDS</w:t>
            </w:r>
          </w:p>
        </w:tc>
        <w:tc>
          <w:tcPr>
            <w:tcW w:w="3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New York Stock Exchange</w:t>
            </w:r>
          </w:p>
        </w:tc>
      </w:tr>
      <w:tr>
        <w:trPr>
          <w:trHeight w:val="33"/>
        </w:trPr>
        <w:tc>
          <w:tcPr>
            <w:tcW w:w="3320" w:type="dxa"/>
            <w:vAlign w:val="bottom"/>
            <w:tcBorders>
              <w:left w:val="single" w:sz="8" w:color="auto"/>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3840" w:type="dxa"/>
            <w:vAlign w:val="bottom"/>
            <w:tcBorders>
              <w:bottom w:val="single" w:sz="8" w:color="auto"/>
              <w:right w:val="single" w:sz="8" w:color="auto"/>
            </w:tcBorders>
          </w:tcPr>
          <w:p>
            <w:pPr>
              <w:spacing w:after="0"/>
              <w:rPr>
                <w:sz w:val="2"/>
                <w:szCs w:val="2"/>
                <w:color w:val="auto"/>
              </w:rPr>
            </w:pPr>
          </w:p>
        </w:tc>
      </w:tr>
    </w:tbl>
    <w:p>
      <w:pPr>
        <w:spacing w:after="0" w:line="81" w:lineRule="exact"/>
        <w:rPr>
          <w:sz w:val="24"/>
          <w:szCs w:val="24"/>
          <w:color w:val="auto"/>
        </w:rPr>
      </w:pPr>
    </w:p>
    <w:p>
      <w:pPr>
        <w:ind w:left="60" w:right="459"/>
        <w:spacing w:after="0" w:line="298"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 w:lineRule="exact"/>
        <w:rPr>
          <w:sz w:val="24"/>
          <w:szCs w:val="24"/>
          <w:color w:val="auto"/>
        </w:rPr>
      </w:pPr>
    </w:p>
    <w:p>
      <w:pPr>
        <w:ind w:left="60"/>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49" w:lineRule="exact"/>
        <w:rPr>
          <w:sz w:val="24"/>
          <w:szCs w:val="24"/>
          <w:color w:val="auto"/>
        </w:rPr>
      </w:pPr>
    </w:p>
    <w:p>
      <w:pPr>
        <w:ind w:left="60" w:right="65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467360</wp:posOffset>
            </wp:positionV>
            <wp:extent cx="565785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47625</wp:posOffset>
            </wp:positionV>
            <wp:extent cx="56578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825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90170</wp:posOffset>
            </wp:positionV>
            <wp:extent cx="565785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880" w:right="1440" w:bottom="1440" w:gutter="0" w:footer="0" w:header="0"/>
        </w:sectPr>
      </w:pPr>
    </w:p>
    <w:bookmarkStart w:id="1" w:name="page2"/>
    <w:bookmarkEnd w:id="1"/>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u w:val="single" w:color="auto"/>
          <w:color w:val="auto"/>
        </w:rPr>
        <w:t>Entry into a Material Definitive Agreement</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0" w:right="299" w:firstLine="648"/>
        <w:spacing w:after="0" w:line="255" w:lineRule="auto"/>
        <w:rPr>
          <w:sz w:val="20"/>
          <w:szCs w:val="20"/>
          <w:color w:val="auto"/>
        </w:rPr>
      </w:pPr>
      <w:r>
        <w:rPr>
          <w:rFonts w:ascii="Times New Roman" w:cs="Times New Roman" w:eastAsia="Times New Roman" w:hAnsi="Times New Roman"/>
          <w:sz w:val="18"/>
          <w:szCs w:val="18"/>
          <w:color w:val="auto"/>
        </w:rPr>
        <w:t>On January 26, 2024 (the “Effective Date”), Dillard’s, Inc. (the “Company”) and a subsidiary of the Company, Dillard Investment Co., Inc. (“DIC” and together with the Company, the “Company Parties”), entered into a Credit Card Program Agreement (the “Program Agreement”) with Citibank, N.A. (“Citi”). A copy of the Company’s press release announcing the Program Agreement is filed with this report as Exhibit 99.1 and is incorporated herein by reference. The description of the material terms of the Program Agreement set forth in this Item 1.01 is qualified in its entirety by reference to the content of the Program Agreement, a copy of which will be filed with the Company’s Annual Report on Form 10-K for the fiscal year ending February 3, 2024.</w:t>
      </w:r>
    </w:p>
    <w:p>
      <w:pPr>
        <w:spacing w:after="0" w:line="229"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Simultaneous to the execution of the Program Agreement, Citi entered into a purchase agreement (the “Purchase Agreement”) with Wells Fargo Bank, N.A. (“Wells Fargo”), pursuant to which Citi will use commercially reasonable and good faith efforts to purchase credit card accounts issued by Wells Fargo (the “Back Book Purchase”) under the previously filed Credit Card Program Agreement entered into between the Company Parties and Wells Fargo on March 31, 2014 (the “Current Agreement”). Pursuant to the Program Agreement, Citi will (i) offer co-branded credit cards and private label credit cards to new and existing customers of the Company (the “Program”) and (ii) provide customer service functions and support certain Company marketing and loyalty program activities related to the Program. On November 6, 2023, Wells Fargo provided written notice of non-renewal under the Current Agreement. Pursuant to the notice of non-renewal, the Current Agreement will terminate in November 2024 (unless terminated earlier related to purchase of the credit card accounts by Citi pursuant to the Purchase Agreement).</w:t>
      </w:r>
    </w:p>
    <w:p>
      <w:pPr>
        <w:spacing w:after="0" w:line="221"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The launch of the Program is expected to occur in summer 2024 (the “Program Launch Date”). The conversion of the credit card accounts issued by Wells Fargo is expected to occur in fall 2024. After the Program Launch Date, DIC will be entitled to a monthly compensation payment under the Program Agreement. In addition, DIC will be entitled to a one-time program launch payment.</w:t>
      </w:r>
    </w:p>
    <w:p>
      <w:pPr>
        <w:spacing w:after="0" w:line="220"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The term of the Program Agreement is ten (10) years from the Program Launch Date with automatic extensions for successive two (2)-year terms unless the Program Agreement is terminated by a party in accordance with the terms and conditions of the Program Agreement.</w:t>
      </w:r>
    </w:p>
    <w:p>
      <w:pPr>
        <w:spacing w:after="0" w:line="216" w:lineRule="exact"/>
        <w:rPr>
          <w:sz w:val="20"/>
          <w:szCs w:val="20"/>
          <w:color w:val="auto"/>
        </w:rPr>
      </w:pPr>
    </w:p>
    <w:p>
      <w:pPr>
        <w:ind w:left="60" w:right="359" w:firstLine="648"/>
        <w:spacing w:after="0" w:line="258" w:lineRule="auto"/>
        <w:rPr>
          <w:sz w:val="20"/>
          <w:szCs w:val="20"/>
          <w:color w:val="auto"/>
        </w:rPr>
      </w:pPr>
      <w:r>
        <w:rPr>
          <w:rFonts w:ascii="Times New Roman" w:cs="Times New Roman" w:eastAsia="Times New Roman" w:hAnsi="Times New Roman"/>
          <w:sz w:val="18"/>
          <w:szCs w:val="18"/>
          <w:color w:val="auto"/>
        </w:rPr>
        <w:t>Citi or the Company Parties may terminate the Program Agreement if the Back Book Purchase has not been completed by February 28, 2025 (or such other date as mutually agreed to by Citi and the Company Parties), and the Program Agreement will automatically terminate if the Purchase Agreement is terminated prior to closing of the Back Book Purchase. DIC has the option to purchase or arrange for a third party to purchase the Program portfolio and assets upon expiration or early termination of the Program Agreement.</w:t>
      </w:r>
    </w:p>
    <w:p>
      <w:pPr>
        <w:spacing w:after="0" w:line="210" w:lineRule="exact"/>
        <w:rPr>
          <w:sz w:val="20"/>
          <w:szCs w:val="20"/>
          <w:color w:val="auto"/>
        </w:rPr>
      </w:pPr>
    </w:p>
    <w:p>
      <w:pPr>
        <w:ind w:left="60" w:right="499" w:firstLine="648"/>
        <w:spacing w:after="0" w:line="266" w:lineRule="auto"/>
        <w:rPr>
          <w:sz w:val="20"/>
          <w:szCs w:val="20"/>
          <w:color w:val="auto"/>
        </w:rPr>
      </w:pPr>
      <w:r>
        <w:rPr>
          <w:rFonts w:ascii="Times New Roman" w:cs="Times New Roman" w:eastAsia="Times New Roman" w:hAnsi="Times New Roman"/>
          <w:sz w:val="18"/>
          <w:szCs w:val="18"/>
          <w:color w:val="auto"/>
        </w:rPr>
        <w:t>The Program Agreement contains customary representations, warranties and covenants. Additionally, the Program Agreement contains indemnification, exclusivity, confidentiality, privacy, data security, intellectual property, audit, reporting and termination provisions that allow for early termination.</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Forward-Looking Information</w:t>
      </w:r>
    </w:p>
    <w:p>
      <w:pPr>
        <w:spacing w:after="0" w:line="108" w:lineRule="exact"/>
        <w:rPr>
          <w:sz w:val="20"/>
          <w:szCs w:val="20"/>
          <w:color w:val="auto"/>
        </w:rPr>
      </w:pPr>
    </w:p>
    <w:p>
      <w:pPr>
        <w:ind w:left="60" w:right="139" w:firstLine="648"/>
        <w:spacing w:after="0" w:line="252" w:lineRule="auto"/>
        <w:rPr>
          <w:sz w:val="20"/>
          <w:szCs w:val="20"/>
          <w:color w:val="auto"/>
        </w:rPr>
      </w:pPr>
      <w:r>
        <w:rPr>
          <w:rFonts w:ascii="Times New Roman" w:cs="Times New Roman" w:eastAsia="Times New Roman" w:hAnsi="Times New Roman"/>
          <w:sz w:val="18"/>
          <w:szCs w:val="18"/>
          <w:color w:val="auto"/>
        </w:rPr>
        <w:t>This Current Report on Form 8-K contains certain forward-looking statements. The following are or may constitute forward-looking statements within the meaning of the Private Securities Litigation Reform Act of 1995: (a) statements including words such as “may,” “will,” “could,” “should,” “believe,” “expect,” “future,” “potential,” “anticipate,” “intend,” “plan,” “estimate,” “continue,” or the negative or other variations thereof; (b) statements regarding matters that are not historical facts; and (c) statements about the Company’s future occurrences, plans and objectives, including statements regarding events related to the Program Agreement including, but not limited to, the purchase of existing credit card accounts, the offering of new co-branded and private label credit cards, the provision of certain customer service and support functions, the timing of the Program launch and the timing of the transfer of existing accounts. The Company cautions that forward-looking statements contained in this report are based on estimates, projections, beliefs and assumptions of management and information available to management at the time of such statements and are not guarantees of future performance. The Company disclaims any obligation to update or revise any forward-looking statements based on the occurrence of future events, the receipt of new information or otherwise. Forward-looking statements of the Company involve risks and uncertainties and are subject to change based on various important factors. Actual future performance, outcomes and results may differ materially from those expressed in forward-looking statements made by the Company and its management as a result of a number of risks, uncertainties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341630</wp:posOffset>
            </wp:positionV>
            <wp:extent cx="565785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 w:name="page3"/>
    <w:bookmarkEnd w:id="2"/>
    <w:p>
      <w:pPr>
        <w:ind w:left="60" w:right="339"/>
        <w:spacing w:after="0" w:line="266" w:lineRule="auto"/>
        <w:rPr>
          <w:sz w:val="20"/>
          <w:szCs w:val="20"/>
          <w:color w:val="auto"/>
        </w:rPr>
      </w:pPr>
      <w:r>
        <w:rPr>
          <w:rFonts w:ascii="Times New Roman" w:cs="Times New Roman" w:eastAsia="Times New Roman" w:hAnsi="Times New Roman"/>
          <w:sz w:val="18"/>
          <w:szCs w:val="18"/>
          <w:color w:val="auto"/>
        </w:rPr>
        <w:t>assumptions, including those detailed from time to time in our periodic reports filed with the Securities and Exchange Commission, particularly those set forth under the caption “Item 1A, Risk Factors” in the Company’s Annual Report on Form 10-K for the fiscal year ended January 28, 2023.</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0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220" w:type="dxa"/>
            <w:vAlign w:val="bottom"/>
          </w:tcPr>
          <w:p>
            <w:pPr>
              <w:spacing w:after="0"/>
              <w:rPr>
                <w:sz w:val="17"/>
                <w:szCs w:val="17"/>
                <w:color w:val="auto"/>
              </w:rPr>
            </w:pPr>
          </w:p>
        </w:tc>
        <w:tc>
          <w:tcPr>
            <w:tcW w:w="76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66"/>
        </w:trPr>
        <w:tc>
          <w:tcPr>
            <w:tcW w:w="20" w:type="dxa"/>
            <w:vAlign w:val="bottom"/>
          </w:tcPr>
          <w:p>
            <w:pPr>
              <w:spacing w:after="0"/>
              <w:rPr>
                <w:sz w:val="24"/>
                <w:szCs w:val="24"/>
                <w:color w:val="auto"/>
              </w:rPr>
            </w:pPr>
          </w:p>
        </w:tc>
        <w:tc>
          <w:tcPr>
            <w:tcW w:w="1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6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4980" w:type="dxa"/>
            <w:vAlign w:val="bottom"/>
            <w:tcBorders>
              <w:bottom w:val="single" w:sz="8" w:color="auto"/>
            </w:tcBorders>
            <w:gridSpan w:val="2"/>
          </w:tcPr>
          <w:p>
            <w:pPr>
              <w:spacing w:after="0"/>
              <w:rPr>
                <w:sz w:val="24"/>
                <w:szCs w:val="24"/>
                <w:color w:val="auto"/>
              </w:rPr>
            </w:pPr>
          </w:p>
        </w:tc>
      </w:tr>
      <w:tr>
        <w:trPr>
          <w:trHeight w:val="385"/>
        </w:trPr>
        <w:tc>
          <w:tcPr>
            <w:tcW w:w="1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Press Release dated January 29, 2024.</w:t>
            </w: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40" w:type="dxa"/>
            <w:vAlign w:val="bottom"/>
            <w:gridSpan w:val="2"/>
            <w:shd w:val="clear" w:color="auto" w:fill="0000EE"/>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r>
      <w:tr>
        <w:trPr>
          <w:trHeight w:val="453"/>
        </w:trPr>
        <w:tc>
          <w:tcPr>
            <w:tcW w:w="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897"/>
        </w:trPr>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219" w:firstLine="129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DILLARD’S, INC.</w:t>
      </w:r>
    </w:p>
    <w:p>
      <w:pPr>
        <w:spacing w:after="0" w:line="252" w:lineRule="exact"/>
        <w:rPr>
          <w:sz w:val="20"/>
          <w:szCs w:val="20"/>
          <w:color w:val="auto"/>
        </w:rPr>
      </w:pPr>
    </w:p>
    <w:p>
      <w:pPr>
        <w:ind w:left="100"/>
        <w:spacing w:after="0"/>
        <w:tabs>
          <w:tab w:leader="none" w:pos="900" w:val="left"/>
          <w:tab w:leader="none" w:pos="3780" w:val="left"/>
          <w:tab w:leader="none" w:pos="43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January 29,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Phillip R. Watts</w:t>
      </w:r>
    </w:p>
    <w:p>
      <w:pPr>
        <w:spacing w:after="0" w:line="50"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Name: Phillip R. Watts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-127635</wp:posOffset>
            </wp:positionV>
            <wp:extent cx="51263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26355" cy="8255"/>
                    </a:xfrm>
                    <a:prstGeom prst="rect">
                      <a:avLst/>
                    </a:prstGeom>
                    <a:noFill/>
                  </pic:spPr>
                </pic:pic>
              </a:graphicData>
            </a:graphic>
          </wp:anchor>
        </w:drawing>
      </w:r>
    </w:p>
    <w:p>
      <w:pPr>
        <w:spacing w:after="0" w:line="16" w:lineRule="exact"/>
        <w:rPr>
          <w:sz w:val="20"/>
          <w:szCs w:val="20"/>
          <w:color w:val="auto"/>
        </w:rPr>
      </w:pPr>
    </w:p>
    <w:p>
      <w:pPr>
        <w:ind w:left="3800"/>
        <w:spacing w:after="0"/>
        <w:tabs>
          <w:tab w:leader="none" w:pos="4360" w:val="left"/>
        </w:tabs>
        <w:rPr>
          <w:sz w:val="20"/>
          <w:szCs w:val="20"/>
          <w:color w:val="auto"/>
        </w:rPr>
      </w:pPr>
      <w:r>
        <w:rPr>
          <w:rFonts w:ascii="Times New Roman" w:cs="Times New Roman" w:eastAsia="Times New Roman" w:hAnsi="Times New Roman"/>
          <w:sz w:val="18"/>
          <w:szCs w:val="18"/>
          <w:color w:val="auto"/>
        </w:rPr>
        <w:t>Title:</w:t>
        <w:tab/>
        <w:t>Senior Vice President, Co-Principal Financial Officer and</w:t>
      </w:r>
    </w:p>
    <w:p>
      <w:pPr>
        <w:spacing w:after="0" w:line="2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34" w:lineRule="exact"/>
        <w:rPr>
          <w:sz w:val="20"/>
          <w:szCs w:val="20"/>
          <w:color w:val="auto"/>
        </w:rPr>
      </w:pPr>
    </w:p>
    <w:p>
      <w:pPr>
        <w:ind w:left="3800"/>
        <w:spacing w:after="0"/>
        <w:tabs>
          <w:tab w:leader="none" w:pos="43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Chris B. Johnson</w:t>
      </w:r>
    </w:p>
    <w:p>
      <w:pPr>
        <w:spacing w:after="0" w:line="50"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Name: Chris B.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2757170</wp:posOffset>
            </wp:positionH>
            <wp:positionV relativeFrom="paragraph">
              <wp:posOffset>-127635</wp:posOffset>
            </wp:positionV>
            <wp:extent cx="29317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16" w:lineRule="exact"/>
        <w:rPr>
          <w:sz w:val="20"/>
          <w:szCs w:val="20"/>
          <w:color w:val="auto"/>
        </w:rPr>
      </w:pPr>
    </w:p>
    <w:p>
      <w:pPr>
        <w:ind w:left="3800"/>
        <w:spacing w:after="0"/>
        <w:tabs>
          <w:tab w:leader="none" w:pos="4360" w:val="left"/>
        </w:tabs>
        <w:rPr>
          <w:sz w:val="20"/>
          <w:szCs w:val="20"/>
          <w:color w:val="auto"/>
        </w:rPr>
      </w:pPr>
      <w:r>
        <w:rPr>
          <w:rFonts w:ascii="Times New Roman" w:cs="Times New Roman" w:eastAsia="Times New Roman" w:hAnsi="Times New Roman"/>
          <w:sz w:val="18"/>
          <w:szCs w:val="18"/>
          <w:color w:val="auto"/>
        </w:rPr>
        <w:t>Title:</w:t>
        <w:tab/>
        <w:t>Senior Vice President and Co-Principal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797560</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4" w:name="page5"/>
    <w:bookmarkEnd w:id="4"/>
    <w:p>
      <w:pPr>
        <w:ind w:left="20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1048385</wp:posOffset>
            </wp:positionH>
            <wp:positionV relativeFrom="page">
              <wp:posOffset>88900</wp:posOffset>
            </wp:positionV>
            <wp:extent cx="1551305" cy="3943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551305" cy="394335"/>
                    </a:xfrm>
                    <a:prstGeom prst="rect">
                      <a:avLst/>
                    </a:prstGeom>
                    <a:noFill/>
                  </pic:spPr>
                </pic:pic>
              </a:graphicData>
            </a:graphic>
          </wp:anchor>
        </w:drawing>
        <w:t>For Immediate Release</w:t>
      </w:r>
    </w:p>
    <w:p>
      <w:pPr>
        <w:spacing w:after="0" w:line="200" w:lineRule="exact"/>
        <w:rPr>
          <w:sz w:val="20"/>
          <w:szCs w:val="20"/>
          <w:color w:val="auto"/>
        </w:rPr>
      </w:pPr>
    </w:p>
    <w:p>
      <w:pPr>
        <w:spacing w:after="0" w:line="218" w:lineRule="exact"/>
        <w:rPr>
          <w:sz w:val="20"/>
          <w:szCs w:val="20"/>
          <w:color w:val="auto"/>
        </w:rPr>
      </w:pPr>
    </w:p>
    <w:p>
      <w:pPr>
        <w:ind w:left="3860" w:right="759" w:hanging="3110"/>
        <w:spacing w:after="0" w:line="288" w:lineRule="auto"/>
        <w:rPr>
          <w:sz w:val="20"/>
          <w:szCs w:val="20"/>
          <w:color w:val="auto"/>
        </w:rPr>
      </w:pPr>
      <w:r>
        <w:rPr>
          <w:rFonts w:ascii="Arial" w:cs="Arial" w:eastAsia="Arial" w:hAnsi="Arial"/>
          <w:sz w:val="29"/>
          <w:szCs w:val="29"/>
          <w:b w:val="1"/>
          <w:bCs w:val="1"/>
          <w:color w:val="auto"/>
        </w:rPr>
        <w:t>Dillard’s, Citi and Mastercard Announce New Credit Card Agreements</w:t>
      </w:r>
    </w:p>
    <w:p>
      <w:pPr>
        <w:spacing w:after="0" w:line="125" w:lineRule="exact"/>
        <w:rPr>
          <w:sz w:val="20"/>
          <w:szCs w:val="20"/>
          <w:color w:val="auto"/>
        </w:rPr>
      </w:pPr>
    </w:p>
    <w:p>
      <w:pPr>
        <w:ind w:left="200" w:right="339"/>
        <w:spacing w:after="0" w:line="236" w:lineRule="auto"/>
        <w:rPr>
          <w:sz w:val="20"/>
          <w:szCs w:val="20"/>
          <w:color w:val="auto"/>
        </w:rPr>
      </w:pPr>
      <w:r>
        <w:rPr>
          <w:rFonts w:ascii="Arial" w:cs="Arial" w:eastAsia="Arial" w:hAnsi="Arial"/>
          <w:sz w:val="22"/>
          <w:szCs w:val="22"/>
          <w:color w:val="auto"/>
        </w:rPr>
        <w:t>Little Rock, AR, Purchase, NY and New York, NY – January 29, 2024 - Dillard’s, Inc. (“Dillard’s”) (NYSE: DDS), Citi (NYSE: C) and Mastercard (NYSE: MA) announced today that the companies have entered into new agreements to provide a credit card program for Dillard’s customers. Citi will purchase the existing Dillard’s credit card accounts and Mastercard will serve as the exclusive payment network for co-branded cards offered under the new program.</w:t>
      </w:r>
    </w:p>
    <w:p>
      <w:pPr>
        <w:spacing w:after="0" w:line="209" w:lineRule="exact"/>
        <w:rPr>
          <w:sz w:val="20"/>
          <w:szCs w:val="20"/>
          <w:color w:val="auto"/>
        </w:rPr>
      </w:pPr>
    </w:p>
    <w:p>
      <w:pPr>
        <w:ind w:left="200" w:right="219"/>
        <w:spacing w:after="0" w:line="255" w:lineRule="auto"/>
        <w:rPr>
          <w:sz w:val="20"/>
          <w:szCs w:val="20"/>
          <w:color w:val="auto"/>
        </w:rPr>
      </w:pPr>
      <w:r>
        <w:rPr>
          <w:rFonts w:ascii="Arial" w:cs="Arial" w:eastAsia="Arial" w:hAnsi="Arial"/>
          <w:sz w:val="21"/>
          <w:szCs w:val="21"/>
          <w:color w:val="auto"/>
        </w:rPr>
        <w:t>The Dillard’s credit card program offered by Citi will include a new co-branded Mastercard as well as a private label credit card. The new co-branded Mastercard will replace the existing co-branded card. Additionally, Citi will provide customer service functions and support certain Dillard’s marketing and loyalty program activities related to the new program.</w:t>
      </w:r>
    </w:p>
    <w:p>
      <w:pPr>
        <w:spacing w:after="0" w:line="189" w:lineRule="exact"/>
        <w:rPr>
          <w:sz w:val="20"/>
          <w:szCs w:val="20"/>
          <w:color w:val="auto"/>
        </w:rPr>
      </w:pPr>
    </w:p>
    <w:p>
      <w:pPr>
        <w:ind w:left="200" w:right="679"/>
        <w:spacing w:after="0" w:line="251" w:lineRule="auto"/>
        <w:rPr>
          <w:sz w:val="20"/>
          <w:szCs w:val="20"/>
          <w:color w:val="auto"/>
        </w:rPr>
      </w:pPr>
      <w:r>
        <w:rPr>
          <w:rFonts w:ascii="Arial" w:cs="Arial" w:eastAsia="Arial" w:hAnsi="Arial"/>
          <w:sz w:val="21"/>
          <w:szCs w:val="21"/>
          <w:color w:val="auto"/>
        </w:rPr>
        <w:t>“We are truly pleased to announce this new relationship with Citi and Mastercard,” said Dillard’s President Alex Dillard. “Our customers expect and deserve the highest level of customer care at Dillard’s and that includes providing premium credit services. We are confident we have aligned ourselves with the best in the business to offer first-class credit choices and exceptional cardholder experiences at Dillard’s for years to come.”</w:t>
      </w:r>
    </w:p>
    <w:p>
      <w:pPr>
        <w:spacing w:after="0" w:line="200" w:lineRule="exact"/>
        <w:rPr>
          <w:sz w:val="20"/>
          <w:szCs w:val="20"/>
          <w:color w:val="auto"/>
        </w:rPr>
      </w:pPr>
    </w:p>
    <w:p>
      <w:pPr>
        <w:ind w:left="200" w:right="319"/>
        <w:spacing w:after="0" w:line="237" w:lineRule="auto"/>
        <w:rPr>
          <w:sz w:val="20"/>
          <w:szCs w:val="20"/>
          <w:color w:val="auto"/>
        </w:rPr>
      </w:pPr>
      <w:r>
        <w:rPr>
          <w:rFonts w:ascii="Arial" w:cs="Arial" w:eastAsia="Arial" w:hAnsi="Arial"/>
          <w:sz w:val="20"/>
          <w:szCs w:val="20"/>
          <w:color w:val="auto"/>
        </w:rPr>
        <w:t>“We’re proud to enter this new long-term agreement with such a beloved and iconic brand like Dillard’s,” said Kartik Mani, Head of Citi Retail Services and Head of Connected Commerce. “Citi looks forward to bringing value to Dillard’s loyal customers through access to credit, rewards, and best-in-class digital capabilities from our trusted financial institution.”</w:t>
      </w:r>
    </w:p>
    <w:p>
      <w:pPr>
        <w:spacing w:after="0" w:line="288" w:lineRule="exact"/>
        <w:rPr>
          <w:sz w:val="20"/>
          <w:szCs w:val="20"/>
          <w:color w:val="auto"/>
        </w:rPr>
      </w:pPr>
    </w:p>
    <w:p>
      <w:pPr>
        <w:ind w:left="200" w:right="439"/>
        <w:spacing w:after="0" w:line="238" w:lineRule="auto"/>
        <w:rPr>
          <w:sz w:val="20"/>
          <w:szCs w:val="20"/>
          <w:color w:val="auto"/>
        </w:rPr>
      </w:pPr>
      <w:r>
        <w:rPr>
          <w:rFonts w:ascii="Arial" w:cs="Arial" w:eastAsia="Arial" w:hAnsi="Arial"/>
          <w:sz w:val="22"/>
          <w:szCs w:val="22"/>
          <w:color w:val="auto"/>
        </w:rPr>
        <w:t>“Today’s digital consumers expect value beyond a transaction, from brands they admire and trust,” said Jason Lane, Executive Vice President, Global Account Management at Mastercard. “We’re looking forward to creating seamless, safe and secure payment experiences for Dillard’s co-brand cardholders, with benefits and rewards that complement cardholders’ dynamic lifestyles.”</w:t>
      </w:r>
    </w:p>
    <w:p>
      <w:pPr>
        <w:spacing w:after="0" w:line="204" w:lineRule="exact"/>
        <w:rPr>
          <w:sz w:val="20"/>
          <w:szCs w:val="20"/>
          <w:color w:val="auto"/>
        </w:rPr>
      </w:pPr>
    </w:p>
    <w:p>
      <w:pPr>
        <w:ind w:left="200" w:right="219"/>
        <w:spacing w:after="0" w:line="259" w:lineRule="auto"/>
        <w:rPr>
          <w:sz w:val="20"/>
          <w:szCs w:val="20"/>
          <w:color w:val="auto"/>
        </w:rPr>
      </w:pPr>
      <w:r>
        <w:rPr>
          <w:rFonts w:ascii="Arial" w:cs="Arial" w:eastAsia="Arial" w:hAnsi="Arial"/>
          <w:sz w:val="22"/>
          <w:szCs w:val="22"/>
          <w:color w:val="auto"/>
        </w:rPr>
        <w:t>The companies expect to launch the new program in late summer 2024 for new Dillard’s credit applicants. The transfer of existing accounts to Citi is expected in the fall of 2024.</w:t>
      </w:r>
    </w:p>
    <w:p>
      <w:pPr>
        <w:spacing w:after="0" w:line="188" w:lineRule="exact"/>
        <w:rPr>
          <w:sz w:val="20"/>
          <w:szCs w:val="20"/>
          <w:color w:val="auto"/>
        </w:rPr>
      </w:pPr>
    </w:p>
    <w:p>
      <w:pPr>
        <w:ind w:left="200" w:right="739"/>
        <w:spacing w:after="0" w:line="257" w:lineRule="auto"/>
        <w:rPr>
          <w:sz w:val="20"/>
          <w:szCs w:val="20"/>
          <w:color w:val="auto"/>
        </w:rPr>
      </w:pPr>
      <w:r>
        <w:rPr>
          <w:rFonts w:ascii="Arial" w:cs="Arial" w:eastAsia="Arial" w:hAnsi="Arial"/>
          <w:sz w:val="20"/>
          <w:szCs w:val="20"/>
          <w:color w:val="auto"/>
        </w:rPr>
        <w:t>Greenhill &amp; Co. served as financial advisor and Morrison Foerster served as legal counsel to Dillard’s in connection with the agreement.</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22"/>
          <w:szCs w:val="22"/>
          <w:b w:val="1"/>
          <w:bCs w:val="1"/>
          <w:i w:val="1"/>
          <w:iCs w:val="1"/>
          <w:color w:val="auto"/>
        </w:rPr>
        <w:t>Cautionary Statement About Forward-Looking Statements</w:t>
      </w:r>
    </w:p>
    <w:p>
      <w:pPr>
        <w:spacing w:after="0" w:line="13" w:lineRule="exact"/>
        <w:rPr>
          <w:sz w:val="20"/>
          <w:szCs w:val="20"/>
          <w:color w:val="auto"/>
        </w:rPr>
      </w:pPr>
    </w:p>
    <w:p>
      <w:pPr>
        <w:ind w:left="200" w:right="259"/>
        <w:spacing w:after="0" w:line="239" w:lineRule="auto"/>
        <w:rPr>
          <w:sz w:val="20"/>
          <w:szCs w:val="20"/>
          <w:color w:val="auto"/>
        </w:rPr>
      </w:pPr>
      <w:r>
        <w:rPr>
          <w:rFonts w:ascii="Arial" w:cs="Arial" w:eastAsia="Arial" w:hAnsi="Arial"/>
          <w:sz w:val="20"/>
          <w:szCs w:val="20"/>
          <w:color w:val="auto"/>
        </w:rPr>
        <w:t>This release contains certain forward-looking statements. Statements regarding future events with regard to the new credit card program agreement between the two parties including, but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328930</wp:posOffset>
            </wp:positionV>
            <wp:extent cx="545211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736" w:right="1440" w:bottom="1440" w:gutter="0" w:footer="0" w:header="0"/>
        </w:sectPr>
      </w:pPr>
    </w:p>
    <w:bookmarkStart w:id="5" w:name="page6"/>
    <w:bookmarkEnd w:id="5"/>
    <w:p>
      <w:pPr>
        <w:ind w:left="200" w:right="259"/>
        <w:spacing w:after="0" w:line="228" w:lineRule="auto"/>
        <w:rPr>
          <w:sz w:val="20"/>
          <w:szCs w:val="20"/>
          <w:color w:val="auto"/>
        </w:rPr>
      </w:pPr>
      <w:r>
        <w:rPr>
          <w:rFonts w:ascii="Arial" w:cs="Arial" w:eastAsia="Arial" w:hAnsi="Arial"/>
          <w:sz w:val="20"/>
          <w:szCs w:val="20"/>
          <w:color w:val="auto"/>
        </w:rPr>
        <w:t>limited to, the purchase of existing credit card accounts, the offering of new co-branded and private label credit cards, the provision of certain customer service and support functions, the timing of the new program launch and the timing of the transfer of existing accounts from are forward looking statements within the meaning of the Private Securities Litigation Reform Act of 1995. The Company cautions that forward-looking statements contained in this report are based on estimates, projections, beliefs and assumptions of management and information available to management at the time of such statements and are not guarantees of future performance. The Company disclaims any obligation to update or revise any forward-looking statements based on the occurrence of future events, the receipt of new information or otherwise. Forward-looking statements of the Company involve risks and uncertainties and are subject to change based on various important factors. Actual future performance, outcomes and results may differ materially from those expressed in forward-looking statements made by the Company and its management as a result of a number of risks, uncertainties and assumptions, including those detailed from time to time in our periodic reports filed with the Securities and Exchange Commission, particularly those set forth under the caption “Item 1A, Risk Factors” in the Company’s Annual Report on Form 10-K for the fiscal year ended January 28, 2023.</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22"/>
          <w:szCs w:val="22"/>
          <w:color w:val="auto"/>
        </w:rPr>
        <w:t>CONTACT:</w:t>
      </w:r>
    </w:p>
    <w:p>
      <w:pPr>
        <w:ind w:left="200"/>
        <w:spacing w:after="0"/>
        <w:rPr>
          <w:sz w:val="20"/>
          <w:szCs w:val="20"/>
          <w:color w:val="auto"/>
        </w:rPr>
      </w:pPr>
      <w:r>
        <w:rPr>
          <w:rFonts w:ascii="Arial" w:cs="Arial" w:eastAsia="Arial" w:hAnsi="Arial"/>
          <w:sz w:val="22"/>
          <w:szCs w:val="22"/>
          <w:color w:val="auto"/>
        </w:rPr>
        <w:t>Dillard’s, Inc.</w:t>
      </w:r>
    </w:p>
    <w:p>
      <w:pPr>
        <w:ind w:left="200"/>
        <w:spacing w:after="0" w:line="230" w:lineRule="auto"/>
        <w:rPr>
          <w:sz w:val="20"/>
          <w:szCs w:val="20"/>
          <w:color w:val="auto"/>
        </w:rPr>
      </w:pPr>
      <w:r>
        <w:rPr>
          <w:rFonts w:ascii="Arial" w:cs="Arial" w:eastAsia="Arial" w:hAnsi="Arial"/>
          <w:sz w:val="22"/>
          <w:szCs w:val="22"/>
          <w:color w:val="auto"/>
        </w:rPr>
        <w:t>Julie Johnson Guymon</w:t>
      </w:r>
    </w:p>
    <w:p>
      <w:pPr>
        <w:ind w:left="200"/>
        <w:spacing w:after="0" w:line="231" w:lineRule="auto"/>
        <w:rPr>
          <w:sz w:val="20"/>
          <w:szCs w:val="20"/>
          <w:color w:val="auto"/>
        </w:rPr>
      </w:pPr>
      <w:r>
        <w:rPr>
          <w:rFonts w:ascii="Arial" w:cs="Arial" w:eastAsia="Arial" w:hAnsi="Arial"/>
          <w:sz w:val="22"/>
          <w:szCs w:val="22"/>
          <w:color w:val="auto"/>
        </w:rPr>
        <w:t>501-376-5965</w:t>
      </w:r>
    </w:p>
    <w:p>
      <w:pPr>
        <w:ind w:left="200"/>
        <w:spacing w:after="0"/>
        <w:rPr>
          <w:sz w:val="20"/>
          <w:szCs w:val="20"/>
          <w:color w:val="auto"/>
        </w:rPr>
      </w:pPr>
      <w:r>
        <w:rPr>
          <w:rFonts w:ascii="Arial" w:cs="Arial" w:eastAsia="Arial" w:hAnsi="Arial"/>
          <w:sz w:val="22"/>
          <w:szCs w:val="22"/>
          <w:color w:val="auto"/>
        </w:rPr>
        <w:t>julie.guymon@dillards.com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340995</wp:posOffset>
            </wp:positionV>
            <wp:extent cx="545211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sectPr>
      <w:pgSz w:w="11900" w:h="16838" w:orient="portrait"/>
      <w:cols w:equalWidth="0" w:num="1">
        <w:col w:w="9019"/>
      </w:cols>
      <w:pgMar w:left="144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2024-01-29T15:49:48Z</dcterms:created>
  <dcterms:modified xsi:type="dcterms:W3CDTF">2024-01-29T15:49:48Z</dcterms:modified>
</cp:coreProperties>
</file>